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8D57" w14:textId="5B4841C3" w:rsidR="00F9383C" w:rsidRDefault="00F9383C" w:rsidP="0009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9FB80" wp14:editId="61548AB2">
                <wp:simplePos x="0" y="0"/>
                <wp:positionH relativeFrom="margin">
                  <wp:posOffset>-94593</wp:posOffset>
                </wp:positionH>
                <wp:positionV relativeFrom="paragraph">
                  <wp:posOffset>172063</wp:posOffset>
                </wp:positionV>
                <wp:extent cx="6304915" cy="985520"/>
                <wp:effectExtent l="0" t="0" r="0" b="5080"/>
                <wp:wrapSquare wrapText="bothSides"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53AFD" w14:textId="77425120" w:rsidR="00F9383C" w:rsidRPr="000B2F1C" w:rsidRDefault="00F9383C" w:rsidP="00F9383C">
                            <w:pPr>
                              <w:spacing w:after="0" w:line="240" w:lineRule="auto"/>
                              <w:ind w:left="708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</w:t>
                            </w:r>
                            <w:r w:rsidR="00FF4F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  <w:t>APROB”</w:t>
                            </w:r>
                          </w:p>
                          <w:p w14:paraId="3114FB70" w14:textId="78559B42" w:rsidR="00F9383C" w:rsidRPr="000B2F1C" w:rsidRDefault="00FF4F98" w:rsidP="00FF4F98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</w:t>
                            </w:r>
                            <w:r w:rsidR="00F9383C"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Șef Departament</w:t>
                            </w:r>
                          </w:p>
                          <w:p w14:paraId="0CFED786" w14:textId="4ACFDF60" w:rsidR="00F9383C" w:rsidRPr="000B2F1C" w:rsidRDefault="00F9383C" w:rsidP="00F93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279EEF5F" w14:textId="78F16061" w:rsidR="00F9383C" w:rsidRPr="000B2F1C" w:rsidRDefault="00F9383C" w:rsidP="00F93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r. </w:t>
                            </w:r>
                            <w:r w:rsidR="00FF4F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șt. med., conf. univ.</w:t>
                            </w:r>
                          </w:p>
                          <w:p w14:paraId="1751D220" w14:textId="2B7DE8F0" w:rsidR="00F9383C" w:rsidRPr="00103D9B" w:rsidRDefault="00F9383C" w:rsidP="00F938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 w:rsidR="00FF4F9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FB80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-7.45pt;margin-top:13.55pt;width:496.4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vsFwIAACw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c3nfDofzyjh6JvfzmaThGt2eW2dD98EaBKNkjqkJaHF&#10;Do8+YEUMPYXEYgbWjVKJGmVIGyvM8vTg7MEXyuDDS6/RCt22GwbYQnXEuRz0lHvL1w0Wf2Q+vDCH&#10;HOMoqNvwjItUgEVgsCipwf36232MR+jRS0mLmimp/7lnTlCivhskZT6eTqPI0mE6+4I4EHft2V57&#10;zF7fA8pyjD/E8mTG+KBOpnSg31Deq1gVXcxwrF3ScDLvQ69k/B5crFYpCGVlWXg0G8tj6ghnhPa1&#10;e2PODvgHZO4JTupixTsa+tieiNU+gGwSRxHgHtUBd5Rkom74PlHz1+cUdfnky98AAAD//wMAUEsD&#10;BBQABgAIAAAAIQAarenf4gAAAAoBAAAPAAAAZHJzL2Rvd25yZXYueG1sTI/LTsMwEEX3SPyDNUjs&#10;Wifh0TTEqapIFRKii5Zu2DnxNImIxyF228DXM6xgOZqje8/NV5PtxRlH3zlSEM8jEEi1Mx01Cg5v&#10;m1kKwgdNRveOUMEXelgV11e5zoy70A7P+9AIDiGfaQVtCEMmpa9btNrP3YDEv6MbrQ58jo00o75w&#10;uO1lEkWP0uqOuKHVA5Yt1h/7k1XwUm62elclNv3uy+fX43r4PLw/KHV7M62fQAScwh8Mv/qsDgU7&#10;Ve5ExotewSy+XzKqIFnEIBhYLlIeVzGZJncgi1z+n1D8AAAA//8DAFBLAQItABQABgAIAAAAIQC2&#10;gziS/gAAAOEBAAATAAAAAAAAAAAAAAAAAAAAAABbQ29udGVudF9UeXBlc10ueG1sUEsBAi0AFAAG&#10;AAgAAAAhADj9If/WAAAAlAEAAAsAAAAAAAAAAAAAAAAALwEAAF9yZWxzLy5yZWxzUEsBAi0AFAAG&#10;AAgAAAAhAN4dq+wXAgAALAQAAA4AAAAAAAAAAAAAAAAALgIAAGRycy9lMm9Eb2MueG1sUEsBAi0A&#10;FAAGAAgAAAAhABqt6d/iAAAACgEAAA8AAAAAAAAAAAAAAAAAcQQAAGRycy9kb3ducmV2LnhtbFBL&#10;BQYAAAAABAAEAPMAAACABQAAAAA=&#10;" filled="f" stroked="f" strokeweight=".5pt">
                <v:textbox>
                  <w:txbxContent>
                    <w:p w14:paraId="6CE53AFD" w14:textId="77425120" w:rsidR="00F9383C" w:rsidRPr="000B2F1C" w:rsidRDefault="00F9383C" w:rsidP="00F9383C">
                      <w:pPr>
                        <w:spacing w:after="0" w:line="240" w:lineRule="auto"/>
                        <w:ind w:left="708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</w:t>
                      </w:r>
                      <w:r w:rsidR="00FF4F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„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  <w:t>APROB”</w:t>
                      </w:r>
                    </w:p>
                    <w:p w14:paraId="3114FB70" w14:textId="78559B42" w:rsidR="00F9383C" w:rsidRPr="000B2F1C" w:rsidRDefault="00FF4F98" w:rsidP="00FF4F98">
                      <w:pPr>
                        <w:spacing w:after="0" w:line="240" w:lineRule="auto"/>
                        <w:ind w:left="6372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</w:t>
                      </w:r>
                      <w:r w:rsidR="00F9383C"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Șef Departament</w:t>
                      </w:r>
                    </w:p>
                    <w:p w14:paraId="0CFED786" w14:textId="4ACFDF60" w:rsidR="00F9383C" w:rsidRPr="000B2F1C" w:rsidRDefault="00F9383C" w:rsidP="00F938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279EEF5F" w14:textId="78F16061" w:rsidR="00F9383C" w:rsidRPr="000B2F1C" w:rsidRDefault="00F9383C" w:rsidP="00F938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r. </w:t>
                      </w:r>
                      <w:r w:rsidR="00FF4F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șt. med., conf. univ.</w:t>
                      </w:r>
                    </w:p>
                    <w:p w14:paraId="1751D220" w14:textId="2B7DE8F0" w:rsidR="00F9383C" w:rsidRPr="00103D9B" w:rsidRDefault="00F9383C" w:rsidP="00F938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 w:rsidR="00FF4F9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78FB58" w14:textId="77777777" w:rsidR="00F9383C" w:rsidRPr="00237692" w:rsidRDefault="00F9383C" w:rsidP="00F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PLANUL TEMATIC</w:t>
      </w:r>
    </w:p>
    <w:p w14:paraId="0B4F2122" w14:textId="77777777" w:rsidR="00F9383C" w:rsidRPr="00237692" w:rsidRDefault="00F9383C" w:rsidP="00F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 prelegerilor la Epidemiologie pentru studenții facultății Medicină,</w:t>
      </w:r>
    </w:p>
    <w:p w14:paraId="75B6D7BC" w14:textId="1D4491AD" w:rsidR="00F9383C" w:rsidRPr="00237692" w:rsidRDefault="00F9383C" w:rsidP="00F93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Specialitatea Medicina Generală anul IV, semestrul VII</w:t>
      </w:r>
      <w:r w:rsidR="00FF62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237692">
        <w:rPr>
          <w:rFonts w:ascii="Times New Roman" w:hAnsi="Times New Roman" w:cs="Times New Roman"/>
          <w:b/>
          <w:sz w:val="24"/>
          <w:szCs w:val="24"/>
          <w:lang w:val="ro-RO"/>
        </w:rPr>
        <w:t>, anii 202</w:t>
      </w:r>
      <w:r w:rsidR="00B53E1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237692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B53E14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tbl>
      <w:tblPr>
        <w:tblpPr w:leftFromText="180" w:rightFromText="180" w:vertAnchor="text" w:horzAnchor="margin" w:tblpXSpec="center" w:tblpY="15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5"/>
        <w:gridCol w:w="7055"/>
        <w:gridCol w:w="1745"/>
      </w:tblGrid>
      <w:tr w:rsidR="001F0898" w:rsidRPr="00237692" w14:paraId="6635D73A" w14:textId="77777777" w:rsidTr="001F0898">
        <w:trPr>
          <w:trHeight w:val="339"/>
        </w:trPr>
        <w:tc>
          <w:tcPr>
            <w:tcW w:w="842" w:type="dxa"/>
          </w:tcPr>
          <w:p w14:paraId="027F44F5" w14:textId="77777777" w:rsidR="001F0898" w:rsidRPr="00237692" w:rsidRDefault="001F0898" w:rsidP="001733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705" w:type="dxa"/>
          </w:tcPr>
          <w:p w14:paraId="67850FA4" w14:textId="77777777" w:rsidR="001F0898" w:rsidRPr="00237692" w:rsidRDefault="001F0898" w:rsidP="001733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7055" w:type="dxa"/>
          </w:tcPr>
          <w:p w14:paraId="76B5FFF6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1745" w:type="dxa"/>
          </w:tcPr>
          <w:p w14:paraId="35645C4D" w14:textId="77777777" w:rsidR="001F0898" w:rsidRPr="00237692" w:rsidRDefault="001F0898" w:rsidP="001733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Lectorul</w:t>
            </w:r>
          </w:p>
        </w:tc>
      </w:tr>
      <w:tr w:rsidR="001F0898" w:rsidRPr="00237692" w14:paraId="168B48DC" w14:textId="77777777" w:rsidTr="001F0898">
        <w:trPr>
          <w:trHeight w:val="1676"/>
        </w:trPr>
        <w:tc>
          <w:tcPr>
            <w:tcW w:w="842" w:type="dxa"/>
            <w:vMerge w:val="restart"/>
          </w:tcPr>
          <w:p w14:paraId="3A8EC36F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  <w:tc>
          <w:tcPr>
            <w:tcW w:w="705" w:type="dxa"/>
          </w:tcPr>
          <w:p w14:paraId="11EC3A5D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2E87CEBD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Definiţia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epidemiologiei. Locul şi rolul epidemiologiei în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ştiinţa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practica medicală. Procesul epidemic. Bazele teoretice ale studiului despre procesul epidemic. Structura, factorii, mecanismul de dezvoltare şi manifestările procesului epidemic. </w:t>
            </w:r>
          </w:p>
        </w:tc>
        <w:tc>
          <w:tcPr>
            <w:tcW w:w="1745" w:type="dxa"/>
          </w:tcPr>
          <w:p w14:paraId="10B5F84F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A. Paraschiv</w:t>
            </w:r>
          </w:p>
          <w:p w14:paraId="3003A2DA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 Prisacari</w:t>
            </w:r>
          </w:p>
        </w:tc>
      </w:tr>
      <w:tr w:rsidR="001F0898" w:rsidRPr="00237692" w14:paraId="2624A2B6" w14:textId="77777777" w:rsidTr="001F0898">
        <w:trPr>
          <w:trHeight w:val="742"/>
        </w:trPr>
        <w:tc>
          <w:tcPr>
            <w:tcW w:w="842" w:type="dxa"/>
            <w:vMerge/>
          </w:tcPr>
          <w:p w14:paraId="7876D438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" w:type="dxa"/>
          </w:tcPr>
          <w:p w14:paraId="01B8604F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195362D6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Sistemul de măsuri antiepidemice. Măsurile antiepidemice îndreptate la sursă, mecanismul de transmitere și receptivitate (imunoprofilaxie)</w:t>
            </w:r>
          </w:p>
        </w:tc>
        <w:tc>
          <w:tcPr>
            <w:tcW w:w="1745" w:type="dxa"/>
          </w:tcPr>
          <w:p w14:paraId="2F54B0ED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D. Spătaru</w:t>
            </w:r>
          </w:p>
          <w:p w14:paraId="5F143AE7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Paraschiv</w:t>
            </w:r>
          </w:p>
        </w:tc>
      </w:tr>
      <w:tr w:rsidR="001F0898" w:rsidRPr="00237692" w14:paraId="57D647B6" w14:textId="77777777" w:rsidTr="001F0898">
        <w:trPr>
          <w:trHeight w:val="694"/>
        </w:trPr>
        <w:tc>
          <w:tcPr>
            <w:tcW w:w="842" w:type="dxa"/>
          </w:tcPr>
          <w:p w14:paraId="6682DE15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705" w:type="dxa"/>
          </w:tcPr>
          <w:p w14:paraId="458EADC9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0DADCFEA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infecţiilor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digestive. Măsurile de prevenire și control. </w:t>
            </w:r>
          </w:p>
        </w:tc>
        <w:tc>
          <w:tcPr>
            <w:tcW w:w="1745" w:type="dxa"/>
          </w:tcPr>
          <w:p w14:paraId="133AFD74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D. Spătaru</w:t>
            </w:r>
          </w:p>
          <w:p w14:paraId="591A0FA0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 Prisacari</w:t>
            </w:r>
          </w:p>
        </w:tc>
      </w:tr>
      <w:tr w:rsidR="001F0898" w:rsidRPr="00237692" w14:paraId="2786F9E7" w14:textId="77777777" w:rsidTr="001F0898">
        <w:trPr>
          <w:trHeight w:val="694"/>
        </w:trPr>
        <w:tc>
          <w:tcPr>
            <w:tcW w:w="842" w:type="dxa"/>
          </w:tcPr>
          <w:p w14:paraId="528A021C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III.</w:t>
            </w:r>
          </w:p>
        </w:tc>
        <w:tc>
          <w:tcPr>
            <w:tcW w:w="705" w:type="dxa"/>
          </w:tcPr>
          <w:p w14:paraId="137FC2B8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275DB874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infecțiilor  respiratorii. Măsurile de prevenire și control.</w:t>
            </w:r>
          </w:p>
        </w:tc>
        <w:tc>
          <w:tcPr>
            <w:tcW w:w="1745" w:type="dxa"/>
          </w:tcPr>
          <w:p w14:paraId="51B9A8BC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L. Guțu</w:t>
            </w:r>
          </w:p>
          <w:p w14:paraId="5A8B27E9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 Prisacari</w:t>
            </w:r>
          </w:p>
        </w:tc>
      </w:tr>
      <w:tr w:rsidR="001F0898" w:rsidRPr="00237692" w14:paraId="13F47207" w14:textId="77777777" w:rsidTr="001F0898">
        <w:trPr>
          <w:trHeight w:val="694"/>
        </w:trPr>
        <w:tc>
          <w:tcPr>
            <w:tcW w:w="842" w:type="dxa"/>
          </w:tcPr>
          <w:p w14:paraId="002DC7BF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IV.</w:t>
            </w:r>
          </w:p>
        </w:tc>
        <w:tc>
          <w:tcPr>
            <w:tcW w:w="705" w:type="dxa"/>
          </w:tcPr>
          <w:p w14:paraId="7754A008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048C5536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infecţiilor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infecțiilor sanguine. Măsurile de prevenire și antiepidemice.</w:t>
            </w:r>
          </w:p>
        </w:tc>
        <w:tc>
          <w:tcPr>
            <w:tcW w:w="1745" w:type="dxa"/>
          </w:tcPr>
          <w:p w14:paraId="211FD5D7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L. Guțu</w:t>
            </w:r>
          </w:p>
          <w:p w14:paraId="5D5B55B9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Paraschiv</w:t>
            </w:r>
          </w:p>
        </w:tc>
      </w:tr>
      <w:tr w:rsidR="001F0898" w:rsidRPr="00237692" w14:paraId="7711A36D" w14:textId="77777777" w:rsidTr="001F0898">
        <w:trPr>
          <w:trHeight w:val="694"/>
        </w:trPr>
        <w:tc>
          <w:tcPr>
            <w:tcW w:w="842" w:type="dxa"/>
          </w:tcPr>
          <w:p w14:paraId="23C72586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</w:t>
            </w:r>
          </w:p>
        </w:tc>
        <w:tc>
          <w:tcPr>
            <w:tcW w:w="705" w:type="dxa"/>
          </w:tcPr>
          <w:p w14:paraId="29F75B40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11746A5D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clinică. Definiție. Scopul și obiectivele. Structura și conținutul epidemiologiei clinice. Farmacoepidemiologia. Infecțiile asociate asistenței medicale (IAAM). Programul de prevenire și control a IAAM.</w:t>
            </w:r>
          </w:p>
        </w:tc>
        <w:tc>
          <w:tcPr>
            <w:tcW w:w="1745" w:type="dxa"/>
          </w:tcPr>
          <w:p w14:paraId="254325A4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V. Prisacari</w:t>
            </w:r>
          </w:p>
          <w:p w14:paraId="1C07D940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 Paraschiv</w:t>
            </w:r>
          </w:p>
          <w:p w14:paraId="74262977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F0898" w:rsidRPr="00237692" w14:paraId="523A2E7D" w14:textId="77777777" w:rsidTr="001F0898">
        <w:trPr>
          <w:trHeight w:val="827"/>
        </w:trPr>
        <w:tc>
          <w:tcPr>
            <w:tcW w:w="842" w:type="dxa"/>
          </w:tcPr>
          <w:p w14:paraId="7AB78DB2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VI.</w:t>
            </w:r>
          </w:p>
        </w:tc>
        <w:tc>
          <w:tcPr>
            <w:tcW w:w="705" w:type="dxa"/>
          </w:tcPr>
          <w:p w14:paraId="6EC3E4AA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6C284976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Urgențe de sănătate publică. Infecții cu potențial de răspândire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globală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Măsuri de prevenire și control. </w:t>
            </w:r>
          </w:p>
        </w:tc>
        <w:tc>
          <w:tcPr>
            <w:tcW w:w="1745" w:type="dxa"/>
          </w:tcPr>
          <w:p w14:paraId="23146F88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I. Berdeu</w:t>
            </w:r>
          </w:p>
          <w:p w14:paraId="62076F00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 Sofronie</w:t>
            </w:r>
          </w:p>
        </w:tc>
      </w:tr>
      <w:tr w:rsidR="001F0898" w:rsidRPr="00237692" w14:paraId="60FDB0C2" w14:textId="77777777" w:rsidTr="001F0898">
        <w:trPr>
          <w:trHeight w:val="2099"/>
        </w:trPr>
        <w:tc>
          <w:tcPr>
            <w:tcW w:w="842" w:type="dxa"/>
          </w:tcPr>
          <w:p w14:paraId="1D1642EF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VII.</w:t>
            </w:r>
          </w:p>
        </w:tc>
        <w:tc>
          <w:tcPr>
            <w:tcW w:w="705" w:type="dxa"/>
          </w:tcPr>
          <w:p w14:paraId="7A129646" w14:textId="77777777" w:rsidR="001F0898" w:rsidRPr="00237692" w:rsidRDefault="001F0898" w:rsidP="001733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55" w:type="dxa"/>
          </w:tcPr>
          <w:p w14:paraId="361BF843" w14:textId="77777777" w:rsidR="001F0898" w:rsidRPr="00237692" w:rsidRDefault="001F0898" w:rsidP="001733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bolilor netransmisibile. Studiul cauzalității. Factori de risc (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antropurgici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sociali, comportamentali, naturali, genetici) ca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determinanţi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ai maladiilor transmisibile și netransmisibile. Metodele de studii epidemiologice. Tipurile de studii epidemiologice. Noțiuni de bază a diagnosticului epidemiologic.</w:t>
            </w:r>
          </w:p>
        </w:tc>
        <w:tc>
          <w:tcPr>
            <w:tcW w:w="1745" w:type="dxa"/>
          </w:tcPr>
          <w:p w14:paraId="0016DBBC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V. Prisacari</w:t>
            </w:r>
          </w:p>
          <w:p w14:paraId="07F8706D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 Berdeu</w:t>
            </w:r>
          </w:p>
        </w:tc>
      </w:tr>
      <w:tr w:rsidR="001F0898" w:rsidRPr="00237692" w14:paraId="7B34C5C3" w14:textId="77777777" w:rsidTr="001F0898">
        <w:trPr>
          <w:trHeight w:val="339"/>
        </w:trPr>
        <w:tc>
          <w:tcPr>
            <w:tcW w:w="842" w:type="dxa"/>
          </w:tcPr>
          <w:p w14:paraId="7F72DB95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760" w:type="dxa"/>
            <w:gridSpan w:val="2"/>
          </w:tcPr>
          <w:p w14:paraId="745EDA56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745" w:type="dxa"/>
          </w:tcPr>
          <w:p w14:paraId="569708AD" w14:textId="77777777" w:rsidR="001F0898" w:rsidRPr="00237692" w:rsidRDefault="001F0898" w:rsidP="00173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293BFC7" w14:textId="77777777" w:rsidR="00F9383C" w:rsidRPr="005B3DF0" w:rsidRDefault="00F9383C" w:rsidP="00F9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310B89" w14:textId="77777777" w:rsidR="00F9383C" w:rsidRDefault="00F9383C" w:rsidP="00F9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94633C" w14:textId="77777777" w:rsidR="00F9383C" w:rsidRDefault="00F9383C" w:rsidP="00F9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082F25" w14:textId="77777777" w:rsidR="00FF4F98" w:rsidRDefault="00FF4F98" w:rsidP="00F9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CAFADD1" w14:textId="77777777" w:rsidR="00F9383C" w:rsidRDefault="00F9383C" w:rsidP="00F9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AC0D88" w14:textId="77777777" w:rsidR="00F9383C" w:rsidRPr="000B2F1C" w:rsidRDefault="00F9383C" w:rsidP="00F9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Șef </w:t>
      </w: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>isciplina de Epidemiologie,</w:t>
      </w:r>
    </w:p>
    <w:p w14:paraId="258FF5BF" w14:textId="77777777" w:rsidR="00F9383C" w:rsidRPr="000B2F1C" w:rsidRDefault="00F9383C" w:rsidP="00F9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>Departamentul Medicină Preventivă</w:t>
      </w:r>
    </w:p>
    <w:p w14:paraId="1ED363F9" w14:textId="0AF17E7E" w:rsidR="00F9383C" w:rsidRPr="000B2F1C" w:rsidRDefault="00F9383C" w:rsidP="00F9383C">
      <w:pPr>
        <w:spacing w:after="0" w:line="240" w:lineRule="auto"/>
        <w:jc w:val="both"/>
        <w:rPr>
          <w:rFonts w:ascii="Times New Roman" w:hAnsi="Times New Roman" w:cs="Times New Roman"/>
          <w:sz w:val="28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dr. șt. med., conf. univ.                                                     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  <w:t xml:space="preserve">    </w:t>
      </w:r>
      <w:r w:rsidR="00B30252">
        <w:rPr>
          <w:rFonts w:ascii="Times New Roman" w:hAnsi="Times New Roman" w:cs="Times New Roman"/>
          <w:sz w:val="24"/>
          <w:szCs w:val="24"/>
          <w:lang w:val="ro-MD"/>
        </w:rPr>
        <w:t>Diana Spătaru</w:t>
      </w:r>
    </w:p>
    <w:p w14:paraId="50A8E15E" w14:textId="06789712" w:rsidR="00F9383C" w:rsidRDefault="00F9383C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lang w:val="ro-RO"/>
        </w:rPr>
        <w:br w:type="page"/>
      </w:r>
    </w:p>
    <w:p w14:paraId="3F8F594D" w14:textId="32DA0C37" w:rsidR="00237692" w:rsidRDefault="00FF4F98" w:rsidP="0009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o-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35F10" wp14:editId="6C32D4C8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6304915" cy="985520"/>
                <wp:effectExtent l="0" t="0" r="0" b="5080"/>
                <wp:wrapSquare wrapText="bothSides"/>
                <wp:docPr id="1593240366" name="Casetă text 1593240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D2B28" w14:textId="77777777" w:rsidR="00FF4F98" w:rsidRPr="000B2F1C" w:rsidRDefault="00FF4F98" w:rsidP="00FF4F98">
                            <w:pPr>
                              <w:spacing w:after="0" w:line="240" w:lineRule="auto"/>
                              <w:ind w:left="708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  <w:t>APROB”</w:t>
                            </w:r>
                          </w:p>
                          <w:p w14:paraId="1AED71AE" w14:textId="77777777" w:rsidR="00FF4F98" w:rsidRPr="000B2F1C" w:rsidRDefault="00FF4F98" w:rsidP="00FF4F98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Șef Departament</w:t>
                            </w:r>
                          </w:p>
                          <w:p w14:paraId="222ED304" w14:textId="77777777" w:rsidR="00FF4F98" w:rsidRPr="000B2F1C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7961F9C5" w14:textId="77777777" w:rsidR="00FF4F98" w:rsidRPr="000B2F1C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șt. med., conf. univ.</w:t>
                            </w:r>
                          </w:p>
                          <w:p w14:paraId="3EB7F90C" w14:textId="77777777" w:rsidR="00FF4F98" w:rsidRPr="00103D9B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5F10" id="Casetă text 1593240366" o:spid="_x0000_s1027" type="#_x0000_t202" style="position:absolute;left:0;text-align:left;margin-left:0;margin-top:16.5pt;width:496.45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ppGQ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3t3m4+lwQglH3/R+MhklXLPLa+t8+CZAk2iU1CEtCS22&#10;X/mAFTH0FBKLGVg2SiVqlCFtrDDJ04OzB18ogw8vvUYrdJuONNXVHBuoDjieg555b/mywR5WzIdX&#10;5pBqnAjlG15wkQqwFhwtSmpwv/52H+ORAfRS0qJ0Sup/7pgTlKjvBrmZDsfjqLV0GE++IBzEXXs2&#10;1x6z04+A6hziR7E8mTE+qJMpHeh3VPkiVkUXMxxrlzSczMfQCxp/CReLRQpCdVkWVmZteUwdUY0I&#10;v3XvzNkjDQEJfIaTyFjxgY0+tudjsQsgm0RVxLlH9Qg/KjMxePxFUfrX5xR1+evz3wAAAP//AwBQ&#10;SwMEFAAGAAgAAAAhAA4w6ibeAAAABwEAAA8AAABkcnMvZG93bnJldi54bWxMj09Lw0AQxe+C32EZ&#10;wZvdmKIkMZtSAkUQPbT24m2SnSbB/ROz2zb66R1P9vQY3uO935Sr2RpxoikM3im4XyQgyLVeD65T&#10;sH/f3GUgQkSn0XhHCr4pwKq6viqx0P7stnTaxU5wiQsFKuhjHAspQ9uTxbDwIzn2Dn6yGPmcOqkn&#10;PHO5NTJNkkdpcXC80ONIdU/t5+5oFbzUmzfcNqnNfkz9/HpYj1/7jwelbm/m9ROISHP8D8MfPqND&#10;xUyNPzodhFHAj0QFyyUru3me5iAajmVZCrIq5SV/9QsAAP//AwBQSwECLQAUAAYACAAAACEAtoM4&#10;kv4AAADhAQAAEwAAAAAAAAAAAAAAAAAAAAAAW0NvbnRlbnRfVHlwZXNdLnhtbFBLAQItABQABgAI&#10;AAAAIQA4/SH/1gAAAJQBAAALAAAAAAAAAAAAAAAAAC8BAABfcmVscy8ucmVsc1BLAQItABQABgAI&#10;AAAAIQCkZVppGQIAADMEAAAOAAAAAAAAAAAAAAAAAC4CAABkcnMvZTJvRG9jLnhtbFBLAQItABQA&#10;BgAIAAAAIQAOMOom3gAAAAcBAAAPAAAAAAAAAAAAAAAAAHMEAABkcnMvZG93bnJldi54bWxQSwUG&#10;AAAAAAQABADzAAAAfgUAAAAA&#10;" filled="f" stroked="f" strokeweight=".5pt">
                <v:textbox>
                  <w:txbxContent>
                    <w:p w14:paraId="567D2B28" w14:textId="77777777" w:rsidR="00FF4F98" w:rsidRPr="000B2F1C" w:rsidRDefault="00FF4F98" w:rsidP="00FF4F98">
                      <w:pPr>
                        <w:spacing w:after="0" w:line="240" w:lineRule="auto"/>
                        <w:ind w:left="708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„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  <w:t>APROB”</w:t>
                      </w:r>
                    </w:p>
                    <w:p w14:paraId="1AED71AE" w14:textId="77777777" w:rsidR="00FF4F98" w:rsidRPr="000B2F1C" w:rsidRDefault="00FF4F98" w:rsidP="00FF4F98">
                      <w:pPr>
                        <w:spacing w:after="0" w:line="240" w:lineRule="auto"/>
                        <w:ind w:left="6372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Șef Departament</w:t>
                      </w:r>
                    </w:p>
                    <w:p w14:paraId="222ED304" w14:textId="77777777" w:rsidR="00FF4F98" w:rsidRPr="000B2F1C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7961F9C5" w14:textId="77777777" w:rsidR="00FF4F98" w:rsidRPr="000B2F1C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r.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șt. med., conf. univ.</w:t>
                      </w:r>
                    </w:p>
                    <w:p w14:paraId="3EB7F90C" w14:textId="77777777" w:rsidR="00FF4F98" w:rsidRPr="00103D9B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B36157" w14:textId="77777777" w:rsidR="00237692" w:rsidRDefault="00237692" w:rsidP="0009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C7B4ED" w14:textId="5EF0DF4C" w:rsidR="000920EA" w:rsidRPr="00237692" w:rsidRDefault="000920EA" w:rsidP="0009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PLANUL TEMATIC</w:t>
      </w:r>
    </w:p>
    <w:p w14:paraId="3874D1E6" w14:textId="425EB13A" w:rsidR="000920EA" w:rsidRPr="00237692" w:rsidRDefault="000920EA" w:rsidP="0009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al prelegerilor la Epidemiologie pentru </w:t>
      </w:r>
      <w:r w:rsidR="00876C58"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studenții</w:t>
      </w: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76C58"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facultății</w:t>
      </w: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Medicină,</w:t>
      </w:r>
    </w:p>
    <w:p w14:paraId="74A52A4F" w14:textId="2A0664E1" w:rsidR="000920EA" w:rsidRPr="00237692" w:rsidRDefault="000920EA" w:rsidP="00092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769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Specialitatea Medicina Generală anul IV, semestrul VII</w:t>
      </w:r>
      <w:r w:rsidR="00FF621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237692">
        <w:rPr>
          <w:rFonts w:ascii="Times New Roman" w:hAnsi="Times New Roman" w:cs="Times New Roman"/>
          <w:b/>
          <w:sz w:val="24"/>
          <w:szCs w:val="24"/>
          <w:lang w:val="ro-RO"/>
        </w:rPr>
        <w:t>, anii 20</w:t>
      </w:r>
      <w:r w:rsidR="00805FFD" w:rsidRPr="00237692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53E1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237692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B53E14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tbl>
      <w:tblPr>
        <w:tblpPr w:leftFromText="180" w:rightFromText="180" w:vertAnchor="text" w:horzAnchor="margin" w:tblpXSpec="center" w:tblpY="155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795"/>
        <w:gridCol w:w="7957"/>
        <w:gridCol w:w="795"/>
      </w:tblGrid>
      <w:tr w:rsidR="00F9383C" w:rsidRPr="00237692" w14:paraId="03B413D9" w14:textId="77777777" w:rsidTr="00F9383C">
        <w:trPr>
          <w:trHeight w:val="346"/>
        </w:trPr>
        <w:tc>
          <w:tcPr>
            <w:tcW w:w="949" w:type="dxa"/>
          </w:tcPr>
          <w:p w14:paraId="0AAEB466" w14:textId="77777777" w:rsidR="00F9383C" w:rsidRPr="00237692" w:rsidRDefault="00F9383C" w:rsidP="00805F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795" w:type="dxa"/>
          </w:tcPr>
          <w:p w14:paraId="6B4B6AB8" w14:textId="77777777" w:rsidR="00F9383C" w:rsidRPr="00237692" w:rsidRDefault="00F9383C" w:rsidP="00805F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7957" w:type="dxa"/>
          </w:tcPr>
          <w:p w14:paraId="474A017D" w14:textId="431AA3B1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795" w:type="dxa"/>
          </w:tcPr>
          <w:p w14:paraId="7D2800EF" w14:textId="77777777" w:rsidR="00F9383C" w:rsidRPr="00237692" w:rsidRDefault="00F9383C" w:rsidP="00805F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Ore </w:t>
            </w:r>
          </w:p>
        </w:tc>
      </w:tr>
      <w:tr w:rsidR="00F9383C" w:rsidRPr="00237692" w14:paraId="196E0FCD" w14:textId="77777777" w:rsidTr="00F9383C">
        <w:trPr>
          <w:trHeight w:val="1711"/>
        </w:trPr>
        <w:tc>
          <w:tcPr>
            <w:tcW w:w="949" w:type="dxa"/>
            <w:vMerge w:val="restart"/>
          </w:tcPr>
          <w:p w14:paraId="2E6A1E56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</w:p>
        </w:tc>
        <w:tc>
          <w:tcPr>
            <w:tcW w:w="795" w:type="dxa"/>
          </w:tcPr>
          <w:p w14:paraId="381AA40C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711430A4" w14:textId="2459DE56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Definiţia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epidemiologiei. Locul şi rolul epidemiologiei în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ştiinţa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practica medicală. Procesul epidemic. Bazele teoretice ale studiului despre procesul epidemic. Structura, factorii, mecanismul de dezvoltare şi manifestările procesului epidemic. </w:t>
            </w:r>
          </w:p>
        </w:tc>
        <w:tc>
          <w:tcPr>
            <w:tcW w:w="795" w:type="dxa"/>
            <w:vAlign w:val="center"/>
          </w:tcPr>
          <w:p w14:paraId="2E9B08A7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40D73E11" w14:textId="77777777" w:rsidTr="00F9383C">
        <w:trPr>
          <w:trHeight w:val="757"/>
        </w:trPr>
        <w:tc>
          <w:tcPr>
            <w:tcW w:w="949" w:type="dxa"/>
            <w:vMerge/>
          </w:tcPr>
          <w:p w14:paraId="2E60EBB0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" w:type="dxa"/>
          </w:tcPr>
          <w:p w14:paraId="573E8BF6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158C5215" w14:textId="49D1AE33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Sistemul de măsuri antiepidemice. Măsurile antiepidemice îndreptate la sursă, mecanismul de transmitere și receptivitate (imunoprofilaxie)</w:t>
            </w:r>
          </w:p>
        </w:tc>
        <w:tc>
          <w:tcPr>
            <w:tcW w:w="795" w:type="dxa"/>
            <w:vAlign w:val="center"/>
          </w:tcPr>
          <w:p w14:paraId="4335B0D1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58306568" w14:textId="77777777" w:rsidTr="00F9383C">
        <w:trPr>
          <w:trHeight w:val="708"/>
        </w:trPr>
        <w:tc>
          <w:tcPr>
            <w:tcW w:w="949" w:type="dxa"/>
          </w:tcPr>
          <w:p w14:paraId="1C74D83C" w14:textId="6A051486" w:rsidR="00F9383C" w:rsidRPr="00237692" w:rsidRDefault="00F9383C" w:rsidP="0056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</w:p>
        </w:tc>
        <w:tc>
          <w:tcPr>
            <w:tcW w:w="795" w:type="dxa"/>
          </w:tcPr>
          <w:p w14:paraId="49984944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723F9CE0" w14:textId="215366D3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infecţiilor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digestive. Măsurile de prevenire și control. </w:t>
            </w:r>
          </w:p>
        </w:tc>
        <w:tc>
          <w:tcPr>
            <w:tcW w:w="795" w:type="dxa"/>
            <w:vAlign w:val="center"/>
          </w:tcPr>
          <w:p w14:paraId="0D724227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7DAE1E47" w14:textId="77777777" w:rsidTr="00F9383C">
        <w:trPr>
          <w:trHeight w:val="708"/>
        </w:trPr>
        <w:tc>
          <w:tcPr>
            <w:tcW w:w="949" w:type="dxa"/>
          </w:tcPr>
          <w:p w14:paraId="53AF2C02" w14:textId="53448A77" w:rsidR="00F9383C" w:rsidRPr="00237692" w:rsidRDefault="00F9383C" w:rsidP="00561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III.</w:t>
            </w:r>
          </w:p>
        </w:tc>
        <w:tc>
          <w:tcPr>
            <w:tcW w:w="795" w:type="dxa"/>
          </w:tcPr>
          <w:p w14:paraId="023831C8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40DA6C18" w14:textId="4910B01B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infecțiilor  respiratorii. Măsurile de prevenire și control.</w:t>
            </w:r>
          </w:p>
        </w:tc>
        <w:tc>
          <w:tcPr>
            <w:tcW w:w="795" w:type="dxa"/>
          </w:tcPr>
          <w:p w14:paraId="1671B588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55150EF3" w14:textId="77777777" w:rsidTr="00F9383C">
        <w:trPr>
          <w:trHeight w:val="708"/>
        </w:trPr>
        <w:tc>
          <w:tcPr>
            <w:tcW w:w="949" w:type="dxa"/>
          </w:tcPr>
          <w:p w14:paraId="1BCC7BB0" w14:textId="0780D951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IV.</w:t>
            </w:r>
          </w:p>
        </w:tc>
        <w:tc>
          <w:tcPr>
            <w:tcW w:w="795" w:type="dxa"/>
          </w:tcPr>
          <w:p w14:paraId="0EB1C603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550627F9" w14:textId="77777777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infecţiilor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infecțiilor sanguine. Măsurile de prevenire și antiepidemice.</w:t>
            </w:r>
          </w:p>
        </w:tc>
        <w:tc>
          <w:tcPr>
            <w:tcW w:w="795" w:type="dxa"/>
          </w:tcPr>
          <w:p w14:paraId="68384EDA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64EDCB19" w14:textId="77777777" w:rsidTr="00F9383C">
        <w:trPr>
          <w:trHeight w:val="708"/>
        </w:trPr>
        <w:tc>
          <w:tcPr>
            <w:tcW w:w="949" w:type="dxa"/>
          </w:tcPr>
          <w:p w14:paraId="20EAAA04" w14:textId="0BA354CF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</w:t>
            </w:r>
          </w:p>
        </w:tc>
        <w:tc>
          <w:tcPr>
            <w:tcW w:w="795" w:type="dxa"/>
          </w:tcPr>
          <w:p w14:paraId="65890DBA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55E09433" w14:textId="5B35D693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clinică. Definiție. Scopul și obiectivele. Structura și conținutul epidemiologiei clinice. Farmacoepidemiologia. Infecțiile asociate asistenței medicale (IAAM). Programul de prevenire și control a IAAM.</w:t>
            </w:r>
          </w:p>
        </w:tc>
        <w:tc>
          <w:tcPr>
            <w:tcW w:w="795" w:type="dxa"/>
          </w:tcPr>
          <w:p w14:paraId="23A25D7E" w14:textId="44E02990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2DA7569C" w14:textId="77777777" w:rsidTr="00F9383C">
        <w:trPr>
          <w:trHeight w:val="844"/>
        </w:trPr>
        <w:tc>
          <w:tcPr>
            <w:tcW w:w="949" w:type="dxa"/>
          </w:tcPr>
          <w:p w14:paraId="23EB54A6" w14:textId="5CB39FBA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VI.</w:t>
            </w:r>
          </w:p>
        </w:tc>
        <w:tc>
          <w:tcPr>
            <w:tcW w:w="795" w:type="dxa"/>
          </w:tcPr>
          <w:p w14:paraId="161B2C04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2B744269" w14:textId="3853F085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Urgențe de sănătate publică. Infecții cu potențial de răspândire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globală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Măsuri de prevenire și control. </w:t>
            </w:r>
          </w:p>
        </w:tc>
        <w:tc>
          <w:tcPr>
            <w:tcW w:w="795" w:type="dxa"/>
          </w:tcPr>
          <w:p w14:paraId="26248F63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143AC387" w14:textId="77777777" w:rsidTr="00F9383C">
        <w:trPr>
          <w:trHeight w:val="2142"/>
        </w:trPr>
        <w:tc>
          <w:tcPr>
            <w:tcW w:w="949" w:type="dxa"/>
          </w:tcPr>
          <w:p w14:paraId="07B269E7" w14:textId="5907FF64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VII.</w:t>
            </w:r>
          </w:p>
        </w:tc>
        <w:tc>
          <w:tcPr>
            <w:tcW w:w="795" w:type="dxa"/>
          </w:tcPr>
          <w:p w14:paraId="6295847A" w14:textId="77777777" w:rsidR="00F9383C" w:rsidRPr="00237692" w:rsidRDefault="00F9383C" w:rsidP="00805FF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57" w:type="dxa"/>
          </w:tcPr>
          <w:p w14:paraId="1D083A0D" w14:textId="25D7D77A" w:rsidR="00F9383C" w:rsidRPr="00237692" w:rsidRDefault="00F9383C" w:rsidP="00805F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bolilor netransmisibile. Studiul cauzalității. Factori de risc (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antropurgici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sociali, comportamentali, naturali, genetici) ca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determinanţi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ai maladiilor transmisibile și netransmisibile. Metodele de studii epidemiologice. Tipurile de studii epidemiologice. Noțiuni de bază a diagnosticului epidemiologic.</w:t>
            </w:r>
          </w:p>
        </w:tc>
        <w:tc>
          <w:tcPr>
            <w:tcW w:w="795" w:type="dxa"/>
            <w:vAlign w:val="center"/>
          </w:tcPr>
          <w:p w14:paraId="5FA7D69E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F9383C" w:rsidRPr="00237692" w14:paraId="0D4B6A8C" w14:textId="77777777" w:rsidTr="00F9383C">
        <w:trPr>
          <w:trHeight w:val="346"/>
        </w:trPr>
        <w:tc>
          <w:tcPr>
            <w:tcW w:w="949" w:type="dxa"/>
          </w:tcPr>
          <w:p w14:paraId="4268D698" w14:textId="2E331C04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752" w:type="dxa"/>
            <w:gridSpan w:val="2"/>
          </w:tcPr>
          <w:p w14:paraId="4AFD693F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795" w:type="dxa"/>
          </w:tcPr>
          <w:p w14:paraId="76BB8288" w14:textId="77777777" w:rsidR="00F9383C" w:rsidRPr="00237692" w:rsidRDefault="00F9383C" w:rsidP="00805F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</w:tr>
    </w:tbl>
    <w:p w14:paraId="6D584F3E" w14:textId="77777777" w:rsidR="00666D62" w:rsidRPr="005B3DF0" w:rsidRDefault="00666D62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D8301" w14:textId="77777777" w:rsidR="007E5285" w:rsidRDefault="007E5285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6EC50E8" w14:textId="77777777" w:rsidR="00FF4F98" w:rsidRDefault="00FF4F98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D78D357" w14:textId="77777777" w:rsidR="007E5285" w:rsidRDefault="007E5285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D80643F" w14:textId="77777777" w:rsidR="007E5285" w:rsidRDefault="007E5285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46AE80B" w14:textId="77777777" w:rsidR="00237692" w:rsidRPr="000B2F1C" w:rsidRDefault="00237692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Șef </w:t>
      </w: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>isciplina de Epidemiologie,</w:t>
      </w:r>
    </w:p>
    <w:p w14:paraId="5454C164" w14:textId="77777777" w:rsidR="00237692" w:rsidRPr="000B2F1C" w:rsidRDefault="00237692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>Departamentul Medicină Preventivă</w:t>
      </w:r>
    </w:p>
    <w:p w14:paraId="528BF989" w14:textId="60909E29" w:rsidR="00237692" w:rsidRPr="000B2F1C" w:rsidRDefault="00237692" w:rsidP="00237692">
      <w:pPr>
        <w:spacing w:after="0" w:line="240" w:lineRule="auto"/>
        <w:jc w:val="both"/>
        <w:rPr>
          <w:rFonts w:ascii="Times New Roman" w:hAnsi="Times New Roman" w:cs="Times New Roman"/>
          <w:sz w:val="28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dr. șt. med., conf. univ.                                                     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  <w:t xml:space="preserve">    </w:t>
      </w:r>
      <w:r w:rsidR="00B30252">
        <w:rPr>
          <w:rFonts w:ascii="Times New Roman" w:hAnsi="Times New Roman" w:cs="Times New Roman"/>
          <w:sz w:val="24"/>
          <w:szCs w:val="24"/>
          <w:lang w:val="ro-MD"/>
        </w:rPr>
        <w:t>Diana Spătaru</w:t>
      </w:r>
    </w:p>
    <w:p w14:paraId="5E45353F" w14:textId="203FB4FE" w:rsidR="007E5285" w:rsidRDefault="007E5285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70F31DD" w14:textId="6F04E734" w:rsidR="002473B2" w:rsidRDefault="002473B2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A8D01B" w14:textId="7660F0FA" w:rsidR="00FF4F98" w:rsidRDefault="00FF4F98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7A1E5" wp14:editId="0BEA814C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304915" cy="985520"/>
                <wp:effectExtent l="0" t="0" r="0" b="5080"/>
                <wp:wrapSquare wrapText="bothSides"/>
                <wp:docPr id="1711140556" name="Casetă text 1711140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4878E" w14:textId="77777777" w:rsidR="00FF4F98" w:rsidRPr="000B2F1C" w:rsidRDefault="00FF4F98" w:rsidP="00FF4F98">
                            <w:pPr>
                              <w:spacing w:after="0" w:line="240" w:lineRule="auto"/>
                              <w:ind w:left="708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„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ro-MD"/>
                              </w:rPr>
                              <w:t>APROB”</w:t>
                            </w:r>
                          </w:p>
                          <w:p w14:paraId="3F113411" w14:textId="77777777" w:rsidR="00FF4F98" w:rsidRPr="000B2F1C" w:rsidRDefault="00FF4F98" w:rsidP="00FF4F98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Șef Departament</w:t>
                            </w:r>
                          </w:p>
                          <w:p w14:paraId="12075628" w14:textId="77777777" w:rsidR="00FF4F98" w:rsidRPr="000B2F1C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Medicină Preventivă</w:t>
                            </w:r>
                          </w:p>
                          <w:p w14:paraId="3E80F82D" w14:textId="77777777" w:rsidR="00FF4F98" w:rsidRPr="000B2F1C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    d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r.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hab.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>șt. med., conf. univ.</w:t>
                            </w:r>
                          </w:p>
                          <w:p w14:paraId="74BDA04D" w14:textId="77777777" w:rsidR="00FF4F98" w:rsidRPr="00103D9B" w:rsidRDefault="00FF4F98" w:rsidP="00FF4F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</w:pP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                                                                                                            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___ </w:t>
                            </w:r>
                            <w:r w:rsidRPr="000B2F1C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val="ro-MD"/>
                              </w:rPr>
                              <w:t xml:space="preserve">  S. Cebanu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A1E5" id="Casetă text 1711140556" o:spid="_x0000_s1028" type="#_x0000_t202" style="position:absolute;left:0;text-align:left;margin-left:0;margin-top:14.25pt;width:496.45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NGwIAADMEAAAOAAAAZHJzL2Uyb0RvYy54bWysU01vGyEQvVfqf0Dc4107dhqvvI7cRK4q&#10;WUkkp8oZs+BdCRgK2Lvur+/A+ktpT1UvMDDDfLz3mD10WpG9cL4BU9LhIKdEGA5VY7Yl/fG2vLmn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3t3m4+lwQglH3/R+MhklXLPLa+t8+CZAk2iU1CEtCS22&#10;X/mAFTH0FBKLGVg2SiVqlCFtrDDJ04OzB18ogw8vvUYrdJuONFVJR6c5NlAdcDwHPfPe8mWDPayY&#10;D6/MIdU4Eco3vOAiFWAtOFqU1OB+/e0+xiMD6KWkRemU1P/cMScoUd8NcjMdjsdRa+kwnnxBOIi7&#10;9myuPWanHwHVOcSPYnkyY3xQJ1M60O+o8kWsii5mONYuaTiZj6EXNP4SLhaLFITqsiyszNrymDqi&#10;GhF+696Zs0caAhL4DCeRseIDG31sz8diF0A2iaqIc4/qEX5UZmLw+Iui9K/PKery1+e/AQAA//8D&#10;AFBLAwQUAAYACAAAACEANJaxcN8AAAAHAQAADwAAAGRycy9kb3ducmV2LnhtbEyPwU7DMBBE70j8&#10;g7VI3KhDUCEJcaoqUoWE4NDSC7dNvE0i7HWI3Tbw9ZgTHEczmnlTrmZrxIkmPzhWcLtIQBC3Tg/c&#10;Kdi/bW4yED4gazSOScEXeVhVlxclFtqdeUunXehELGFfoII+hLGQ0rc9WfQLNxJH7+AmiyHKqZN6&#10;wnMst0amSXIvLQ4cF3ocqe6p/dgdrYLnevOK2ya12bepn14O6/Fz/75U6vpqXj+CCDSHvzD84kd0&#10;qCJT446svTAK4pGgIM2WIKKb52kOoomx7O4BZFXK//zVDwAAAP//AwBQSwECLQAUAAYACAAAACEA&#10;toM4kv4AAADhAQAAEwAAAAAAAAAAAAAAAAAAAAAAW0NvbnRlbnRfVHlwZXNdLnhtbFBLAQItABQA&#10;BgAIAAAAIQA4/SH/1gAAAJQBAAALAAAAAAAAAAAAAAAAAC8BAABfcmVscy8ucmVsc1BLAQItABQA&#10;BgAIAAAAIQBktfvNGwIAADMEAAAOAAAAAAAAAAAAAAAAAC4CAABkcnMvZTJvRG9jLnhtbFBLAQIt&#10;ABQABgAIAAAAIQA0lrFw3wAAAAcBAAAPAAAAAAAAAAAAAAAAAHUEAABkcnMvZG93bnJldi54bWxQ&#10;SwUGAAAAAAQABADzAAAAgQUAAAAA&#10;" filled="f" stroked="f" strokeweight=".5pt">
                <v:textbox>
                  <w:txbxContent>
                    <w:p w14:paraId="6B44878E" w14:textId="77777777" w:rsidR="00FF4F98" w:rsidRPr="000B2F1C" w:rsidRDefault="00FF4F98" w:rsidP="00FF4F98">
                      <w:pPr>
                        <w:spacing w:after="0" w:line="240" w:lineRule="auto"/>
                        <w:ind w:left="708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„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ro-MD"/>
                        </w:rPr>
                        <w:t>APROB”</w:t>
                      </w:r>
                    </w:p>
                    <w:p w14:paraId="3F113411" w14:textId="77777777" w:rsidR="00FF4F98" w:rsidRPr="000B2F1C" w:rsidRDefault="00FF4F98" w:rsidP="00FF4F98">
                      <w:pPr>
                        <w:spacing w:after="0" w:line="240" w:lineRule="auto"/>
                        <w:ind w:left="6372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Șef Departament</w:t>
                      </w:r>
                    </w:p>
                    <w:p w14:paraId="12075628" w14:textId="77777777" w:rsidR="00FF4F98" w:rsidRPr="000B2F1C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Medicină Preventivă</w:t>
                      </w:r>
                    </w:p>
                    <w:p w14:paraId="3E80F82D" w14:textId="77777777" w:rsidR="00FF4F98" w:rsidRPr="000B2F1C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    d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r.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hab.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>șt. med., conf. univ.</w:t>
                      </w:r>
                    </w:p>
                    <w:p w14:paraId="74BDA04D" w14:textId="77777777" w:rsidR="00FF4F98" w:rsidRPr="00103D9B" w:rsidRDefault="00FF4F98" w:rsidP="00FF4F9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</w:pP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                                                                                                            _________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___ </w:t>
                      </w:r>
                      <w:r w:rsidRPr="000B2F1C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val="ro-MD"/>
                        </w:rPr>
                        <w:t xml:space="preserve">  S. Cebanu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FD6711" w14:textId="77777777" w:rsidR="00FF4F98" w:rsidRDefault="00FF4F98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7B5D78" w14:textId="0FA499FB" w:rsidR="00513938" w:rsidRPr="005B3DF0" w:rsidRDefault="00513938" w:rsidP="00092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>PLANUL TEMATIC</w:t>
      </w:r>
    </w:p>
    <w:p w14:paraId="2BBD784C" w14:textId="32B40263" w:rsidR="00513938" w:rsidRPr="005B3DF0" w:rsidRDefault="00513938" w:rsidP="000920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al lucrărilor practice la Epidemiologie pentru </w:t>
      </w:r>
      <w:r w:rsidR="00876C58"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>studenții</w:t>
      </w:r>
      <w:r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76C58"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>facultății</w:t>
      </w:r>
      <w:r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Medicină, Specialitatea Medicina Generală anul IV, semestrul VIII, anii 20</w:t>
      </w:r>
      <w:r w:rsidR="00805FFD"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B53E14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5B3DF0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B53E14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87"/>
        <w:gridCol w:w="720"/>
      </w:tblGrid>
      <w:tr w:rsidR="00513938" w:rsidRPr="00237692" w14:paraId="07601E64" w14:textId="77777777" w:rsidTr="00237692">
        <w:trPr>
          <w:trHeight w:val="588"/>
        </w:trPr>
        <w:tc>
          <w:tcPr>
            <w:tcW w:w="567" w:type="dxa"/>
          </w:tcPr>
          <w:p w14:paraId="497E5AAE" w14:textId="77777777" w:rsidR="00513938" w:rsidRPr="00237692" w:rsidRDefault="00513938" w:rsidP="00A51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</w:t>
            </w:r>
          </w:p>
        </w:tc>
        <w:tc>
          <w:tcPr>
            <w:tcW w:w="9487" w:type="dxa"/>
          </w:tcPr>
          <w:p w14:paraId="0F699490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720" w:type="dxa"/>
          </w:tcPr>
          <w:p w14:paraId="60751980" w14:textId="77777777" w:rsidR="00513938" w:rsidRPr="00237692" w:rsidRDefault="00513938" w:rsidP="00A51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Ore </w:t>
            </w:r>
          </w:p>
        </w:tc>
      </w:tr>
      <w:tr w:rsidR="00513938" w:rsidRPr="00237692" w14:paraId="2CC60AE5" w14:textId="77777777" w:rsidTr="00237692">
        <w:trPr>
          <w:trHeight w:val="752"/>
        </w:trPr>
        <w:tc>
          <w:tcPr>
            <w:tcW w:w="567" w:type="dxa"/>
          </w:tcPr>
          <w:p w14:paraId="0D7AA278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34B79BA7" w14:textId="675F6BF2" w:rsidR="00513938" w:rsidRPr="00237692" w:rsidRDefault="00513938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Procesul epidemic. Structura, factorii şi mecanismul de dezvoltare a procesului epidemic. Manifestările procesului epidemic.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Curbele epidemice în răspândirea maladiilor transmisibile.</w:t>
            </w:r>
          </w:p>
        </w:tc>
        <w:tc>
          <w:tcPr>
            <w:tcW w:w="720" w:type="dxa"/>
          </w:tcPr>
          <w:p w14:paraId="02DB2924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513938" w:rsidRPr="00237692" w14:paraId="7A032DBD" w14:textId="77777777" w:rsidTr="00237692">
        <w:trPr>
          <w:trHeight w:val="374"/>
        </w:trPr>
        <w:tc>
          <w:tcPr>
            <w:tcW w:w="567" w:type="dxa"/>
          </w:tcPr>
          <w:p w14:paraId="449CAB3D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49622EE8" w14:textId="36E0FAC1" w:rsidR="00513938" w:rsidRPr="00237692" w:rsidRDefault="00513938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Măsurile antiepidemice îndreptate la sursa de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agenţi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patogeni şi la mecanismul de transmitere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20" w:type="dxa"/>
          </w:tcPr>
          <w:p w14:paraId="56AE5BC3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13938" w:rsidRPr="00237692" w14:paraId="759DAC0C" w14:textId="77777777" w:rsidTr="00237692">
        <w:trPr>
          <w:trHeight w:val="1557"/>
        </w:trPr>
        <w:tc>
          <w:tcPr>
            <w:tcW w:w="567" w:type="dxa"/>
          </w:tcPr>
          <w:p w14:paraId="66FEAD0F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53420CF6" w14:textId="1C4C8D63" w:rsidR="00513938" w:rsidRPr="00237692" w:rsidRDefault="00513938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Imunoprofilaxia. Tipurile şi principiile de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vaccinurilor şi altor biopreparate.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Cerinţele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păstrare şi transportare a preparatelor biologice. Metodele şi căile de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administrare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Evenimente adverse post imunizare (EAPI).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Indicaţiile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contraindicaţiile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către realizarea imunoprofilaxiei.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Național de imunizare. 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Calendarul vaccinărilor. Rolul epidemiologului şi al medicului de familie în planificarea, realizarea şi monitorizarea imunoprofilaxiei.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8772F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eficacității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imunoprofilaxiei.</w:t>
            </w:r>
            <w:r w:rsidR="00585A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Comunicarea </w:t>
            </w:r>
            <w:r w:rsidR="005C6A5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interpersonală </w:t>
            </w:r>
            <w:r w:rsidR="00585A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imunoprofilaxie</w:t>
            </w:r>
            <w:r w:rsidR="007B565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585A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20" w:type="dxa"/>
          </w:tcPr>
          <w:p w14:paraId="27F82484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13938" w:rsidRPr="00237692" w14:paraId="636D0875" w14:textId="77777777" w:rsidTr="00237692">
        <w:trPr>
          <w:trHeight w:val="752"/>
        </w:trPr>
        <w:tc>
          <w:tcPr>
            <w:tcW w:w="567" w:type="dxa"/>
          </w:tcPr>
          <w:p w14:paraId="3CDE4F3B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3792627A" w14:textId="6BAE95DF" w:rsidR="00513938" w:rsidRPr="00237692" w:rsidRDefault="00805FFD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Epidemiologia </w:t>
            </w:r>
            <w:proofErr w:type="spellStart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infecţiil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proofErr w:type="spellEnd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digestive (febra tifoidă, </w:t>
            </w:r>
            <w:proofErr w:type="spellStart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shigeloze</w:t>
            </w:r>
            <w:proofErr w:type="spellEnd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salmoneloze, </w:t>
            </w:r>
            <w:proofErr w:type="spellStart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toxiinfecţii</w:t>
            </w:r>
            <w:proofErr w:type="spellEnd"/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alimentare, hepatitele virale cu mecanism fecal-oral).</w:t>
            </w:r>
            <w:r w:rsidR="00224409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Ancheta epidemiologică a focarului de infecții digestive.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Măsurile de prevenire și control.</w:t>
            </w:r>
          </w:p>
        </w:tc>
        <w:tc>
          <w:tcPr>
            <w:tcW w:w="720" w:type="dxa"/>
          </w:tcPr>
          <w:p w14:paraId="05D8A636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805FFD" w:rsidRPr="00237692" w14:paraId="4EF1C000" w14:textId="77777777" w:rsidTr="00237692">
        <w:trPr>
          <w:trHeight w:val="752"/>
        </w:trPr>
        <w:tc>
          <w:tcPr>
            <w:tcW w:w="567" w:type="dxa"/>
          </w:tcPr>
          <w:p w14:paraId="0712AAC9" w14:textId="77777777" w:rsidR="00805FFD" w:rsidRPr="00237692" w:rsidRDefault="00805FFD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722E9C6F" w14:textId="4FED6A90" w:rsidR="00805FFD" w:rsidRPr="00237692" w:rsidRDefault="00805FFD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 infecțiilor respiratorii (difteria, rujeola, scarlatina, parotidita epidemică, gripa). Ancheta epidemiologică a focarului de infecții respiratorii.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Măsurile de prevenire și control.</w:t>
            </w:r>
          </w:p>
        </w:tc>
        <w:tc>
          <w:tcPr>
            <w:tcW w:w="720" w:type="dxa"/>
          </w:tcPr>
          <w:p w14:paraId="0134501B" w14:textId="6E8F3565" w:rsidR="00805FFD" w:rsidRPr="00237692" w:rsidRDefault="00592B45" w:rsidP="00A5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13938" w:rsidRPr="00237692" w14:paraId="6103AF60" w14:textId="77777777" w:rsidTr="00237692">
        <w:trPr>
          <w:trHeight w:val="1120"/>
        </w:trPr>
        <w:tc>
          <w:tcPr>
            <w:tcW w:w="567" w:type="dxa"/>
          </w:tcPr>
          <w:p w14:paraId="68EA5C19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007605A8" w14:textId="40F99E9A" w:rsidR="00513938" w:rsidRPr="00237692" w:rsidRDefault="00805FFD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Epidemiologia</w:t>
            </w:r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infecțiil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transmitere parenterală (hepatitele </w:t>
            </w:r>
            <w:r w:rsidR="00561A42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virale B și C, infecția cu HIV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561A42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a i</w:t>
            </w:r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nfecții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transmis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ibile</w:t>
            </w:r>
            <w:r w:rsidR="00513938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prin vectori (tifosul exantematic, malaria)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Măsurile de prevenire și control.</w:t>
            </w:r>
          </w:p>
          <w:p w14:paraId="01DC24FF" w14:textId="43A37015" w:rsidR="00805FFD" w:rsidRPr="00237692" w:rsidRDefault="00805FFD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Infecțiile asociate asistenței medicale (IAAM). Elemente cheie ale Programului de prevenire și control al infecțiilor.</w:t>
            </w:r>
          </w:p>
        </w:tc>
        <w:tc>
          <w:tcPr>
            <w:tcW w:w="720" w:type="dxa"/>
          </w:tcPr>
          <w:p w14:paraId="7583EC0D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13938" w:rsidRPr="00237692" w14:paraId="199BAA02" w14:textId="77777777" w:rsidTr="00237692">
        <w:trPr>
          <w:trHeight w:val="1264"/>
        </w:trPr>
        <w:tc>
          <w:tcPr>
            <w:tcW w:w="567" w:type="dxa"/>
          </w:tcPr>
          <w:p w14:paraId="656BE1FF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76C9D198" w14:textId="77777777" w:rsidR="00513938" w:rsidRPr="00237692" w:rsidRDefault="00513938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şi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conţinutul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măsurilor antiepidemice în infecțiile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convenţionale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(holera, pesta, febra galbenă) şi  zooantroponoze (antraxul, tularemia, leptospiroza, bruceloza, hidrofobia). </w:t>
            </w:r>
          </w:p>
          <w:p w14:paraId="377AABE1" w14:textId="5A0C5D2A" w:rsidR="00513938" w:rsidRPr="00237692" w:rsidRDefault="00805FFD" w:rsidP="00A51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Urgențe de sănătate publică. Infecții cu potențial de răspândire pandemică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Regulamentul internațional sanitar (RSI). Protecția teritoriului.</w:t>
            </w:r>
          </w:p>
        </w:tc>
        <w:tc>
          <w:tcPr>
            <w:tcW w:w="720" w:type="dxa"/>
          </w:tcPr>
          <w:p w14:paraId="7820B3B9" w14:textId="77777777" w:rsidR="00513938" w:rsidRPr="00237692" w:rsidRDefault="00513938" w:rsidP="00A5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513938" w:rsidRPr="00237692" w14:paraId="3BF4CDCC" w14:textId="77777777" w:rsidTr="00237692">
        <w:trPr>
          <w:trHeight w:val="1409"/>
        </w:trPr>
        <w:tc>
          <w:tcPr>
            <w:tcW w:w="567" w:type="dxa"/>
          </w:tcPr>
          <w:p w14:paraId="54C80D2F" w14:textId="77777777" w:rsidR="00513938" w:rsidRPr="00237692" w:rsidRDefault="00513938" w:rsidP="005139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87" w:type="dxa"/>
          </w:tcPr>
          <w:p w14:paraId="5E486502" w14:textId="0A9FA8BC" w:rsidR="00513938" w:rsidRPr="00237692" w:rsidRDefault="00513938" w:rsidP="000702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Metode epidemiologice aplicate în epidemiologia clinică. Analiza epidemiologică a morbidității infecțioase și </w:t>
            </w:r>
            <w:proofErr w:type="spellStart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neinfecțioase</w:t>
            </w:r>
            <w:proofErr w:type="spellEnd"/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Tipurile de studii. Studii clinice observaționale: descriptive și analitice. Studiile clinice experimentale controlate și necontrolate. Studii clinice controlate randomizate</w:t>
            </w:r>
            <w:r w:rsidR="00FD056D"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2376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Metode de screening. Evaluarea practică a validității testului diagnostic în studiile screening. Modelarea matematică a deciziei clinice. Pronosticul îmbolnăvirii. </w:t>
            </w:r>
          </w:p>
        </w:tc>
        <w:tc>
          <w:tcPr>
            <w:tcW w:w="720" w:type="dxa"/>
          </w:tcPr>
          <w:p w14:paraId="1A57F8E9" w14:textId="77777777" w:rsidR="00513938" w:rsidRPr="0056580F" w:rsidRDefault="00513938" w:rsidP="00A51A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6580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6</w:t>
            </w:r>
          </w:p>
        </w:tc>
      </w:tr>
      <w:tr w:rsidR="00513938" w:rsidRPr="00237692" w14:paraId="51FD0247" w14:textId="77777777" w:rsidTr="00237692">
        <w:trPr>
          <w:trHeight w:val="365"/>
        </w:trPr>
        <w:tc>
          <w:tcPr>
            <w:tcW w:w="10054" w:type="dxa"/>
            <w:gridSpan w:val="2"/>
          </w:tcPr>
          <w:p w14:paraId="3987EC11" w14:textId="77777777" w:rsidR="00513938" w:rsidRPr="00237692" w:rsidRDefault="00513938" w:rsidP="00A51A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720" w:type="dxa"/>
          </w:tcPr>
          <w:p w14:paraId="2E7823AA" w14:textId="77777777" w:rsidR="00513938" w:rsidRPr="00237692" w:rsidRDefault="00513938" w:rsidP="00A51A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76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32</w:t>
            </w:r>
          </w:p>
        </w:tc>
      </w:tr>
    </w:tbl>
    <w:p w14:paraId="60A8D43C" w14:textId="0ED9CB38" w:rsidR="004B4387" w:rsidRDefault="004B4387">
      <w:pPr>
        <w:rPr>
          <w:lang w:val="ro-RO"/>
        </w:rPr>
      </w:pPr>
    </w:p>
    <w:p w14:paraId="0DBE0861" w14:textId="77777777" w:rsidR="00876C58" w:rsidRDefault="00876C58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D4727E7" w14:textId="77777777" w:rsidR="00FF4F98" w:rsidRDefault="00FF4F98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F085B86" w14:textId="77777777" w:rsidR="00876C58" w:rsidRDefault="00876C58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D07DD7B" w14:textId="79998845" w:rsidR="00237692" w:rsidRPr="000B2F1C" w:rsidRDefault="00237692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Șef </w:t>
      </w:r>
      <w:r>
        <w:rPr>
          <w:rFonts w:ascii="Times New Roman" w:hAnsi="Times New Roman" w:cs="Times New Roman"/>
          <w:sz w:val="24"/>
          <w:szCs w:val="24"/>
          <w:lang w:val="ro-MD"/>
        </w:rPr>
        <w:t>D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isciplina de </w:t>
      </w:r>
      <w:r w:rsidR="00864401"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>pidemiologie,</w:t>
      </w:r>
    </w:p>
    <w:p w14:paraId="31C8C2E7" w14:textId="77777777" w:rsidR="00237692" w:rsidRPr="000B2F1C" w:rsidRDefault="00237692" w:rsidP="0023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>Departamentul Medicină Preventivă</w:t>
      </w:r>
    </w:p>
    <w:p w14:paraId="5455DCE3" w14:textId="62CC29E6" w:rsidR="00237692" w:rsidRPr="005B3DF0" w:rsidRDefault="00237692" w:rsidP="00B30252">
      <w:pPr>
        <w:spacing w:after="0" w:line="240" w:lineRule="auto"/>
        <w:jc w:val="both"/>
        <w:rPr>
          <w:lang w:val="ro-RO"/>
        </w:rPr>
      </w:pPr>
      <w:r w:rsidRPr="000B2F1C">
        <w:rPr>
          <w:rFonts w:ascii="Times New Roman" w:hAnsi="Times New Roman" w:cs="Times New Roman"/>
          <w:sz w:val="24"/>
          <w:szCs w:val="24"/>
          <w:lang w:val="ro-MD"/>
        </w:rPr>
        <w:t xml:space="preserve">dr. șt. med., conf. univ.                                                     </w:t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0B2F1C">
        <w:rPr>
          <w:rFonts w:ascii="Times New Roman" w:hAnsi="Times New Roman" w:cs="Times New Roman"/>
          <w:sz w:val="24"/>
          <w:szCs w:val="24"/>
          <w:lang w:val="ro-MD"/>
        </w:rPr>
        <w:tab/>
        <w:t xml:space="preserve">    </w:t>
      </w:r>
      <w:r w:rsidR="00B30252">
        <w:rPr>
          <w:rFonts w:ascii="Times New Roman" w:hAnsi="Times New Roman" w:cs="Times New Roman"/>
          <w:sz w:val="24"/>
          <w:szCs w:val="24"/>
          <w:lang w:val="ro-MD"/>
        </w:rPr>
        <w:t>Diana Spătaru</w:t>
      </w:r>
    </w:p>
    <w:sectPr w:rsidR="00237692" w:rsidRPr="005B3DF0" w:rsidSect="0017181A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79C"/>
    <w:multiLevelType w:val="hybridMultilevel"/>
    <w:tmpl w:val="7B3E9F92"/>
    <w:lvl w:ilvl="0" w:tplc="00E4A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175"/>
    <w:multiLevelType w:val="multilevel"/>
    <w:tmpl w:val="664CF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C4408"/>
    <w:multiLevelType w:val="hybridMultilevel"/>
    <w:tmpl w:val="6FA8E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BAB"/>
    <w:multiLevelType w:val="hybridMultilevel"/>
    <w:tmpl w:val="61543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758679">
    <w:abstractNumId w:val="3"/>
  </w:num>
  <w:num w:numId="2" w16cid:durableId="1235508024">
    <w:abstractNumId w:val="1"/>
  </w:num>
  <w:num w:numId="3" w16cid:durableId="977803873">
    <w:abstractNumId w:val="2"/>
  </w:num>
  <w:num w:numId="4" w16cid:durableId="59883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38"/>
    <w:rsid w:val="000702F6"/>
    <w:rsid w:val="000920EA"/>
    <w:rsid w:val="000B038F"/>
    <w:rsid w:val="0017181A"/>
    <w:rsid w:val="001F0898"/>
    <w:rsid w:val="00224409"/>
    <w:rsid w:val="00237692"/>
    <w:rsid w:val="002473B2"/>
    <w:rsid w:val="00442F62"/>
    <w:rsid w:val="004B4387"/>
    <w:rsid w:val="004F3073"/>
    <w:rsid w:val="00513938"/>
    <w:rsid w:val="00561A42"/>
    <w:rsid w:val="0056580F"/>
    <w:rsid w:val="00585AAB"/>
    <w:rsid w:val="00592B45"/>
    <w:rsid w:val="005B3DF0"/>
    <w:rsid w:val="005C6A51"/>
    <w:rsid w:val="00657326"/>
    <w:rsid w:val="00666D62"/>
    <w:rsid w:val="00751F31"/>
    <w:rsid w:val="0078772F"/>
    <w:rsid w:val="007B5653"/>
    <w:rsid w:val="007E5285"/>
    <w:rsid w:val="00805FFD"/>
    <w:rsid w:val="00864401"/>
    <w:rsid w:val="00876C58"/>
    <w:rsid w:val="00994A38"/>
    <w:rsid w:val="00A42030"/>
    <w:rsid w:val="00AF1036"/>
    <w:rsid w:val="00B30252"/>
    <w:rsid w:val="00B53E14"/>
    <w:rsid w:val="00C60897"/>
    <w:rsid w:val="00D306D2"/>
    <w:rsid w:val="00E47F57"/>
    <w:rsid w:val="00E77AC6"/>
    <w:rsid w:val="00E92463"/>
    <w:rsid w:val="00EB5680"/>
    <w:rsid w:val="00F9383C"/>
    <w:rsid w:val="00FA4193"/>
    <w:rsid w:val="00FD056D"/>
    <w:rsid w:val="00FF4F98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4D6C"/>
  <w15:chartTrackingRefBased/>
  <w15:docId w15:val="{E5E209CB-F66A-418A-A2F3-59BFC588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38"/>
    <w:pPr>
      <w:spacing w:after="200" w:line="276" w:lineRule="auto"/>
    </w:pPr>
    <w:rPr>
      <w:rFonts w:eastAsiaTheme="minorEastAsia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rsid w:val="00513938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13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f">
    <w:name w:val="List Paragraph"/>
    <w:basedOn w:val="Normal"/>
    <w:uiPriority w:val="34"/>
    <w:qFormat/>
    <w:rsid w:val="0075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933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Berdeu</dc:creator>
  <cp:keywords/>
  <dc:description/>
  <cp:lastModifiedBy>Ion Berdeu</cp:lastModifiedBy>
  <cp:revision>27</cp:revision>
  <cp:lastPrinted>2024-09-02T09:12:00Z</cp:lastPrinted>
  <dcterms:created xsi:type="dcterms:W3CDTF">2021-07-27T09:22:00Z</dcterms:created>
  <dcterms:modified xsi:type="dcterms:W3CDTF">2024-09-02T09:12:00Z</dcterms:modified>
</cp:coreProperties>
</file>