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DF0C" w14:textId="6144305D" w:rsidR="00FE0C48" w:rsidRDefault="00CB2DC5" w:rsidP="00DC5ACB">
      <w:pPr>
        <w:jc w:val="center"/>
        <w:rPr>
          <w:b/>
          <w:sz w:val="28"/>
          <w:lang w:val="ro-M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03D4D" wp14:editId="6DF3A64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4915" cy="985520"/>
                <wp:effectExtent l="0" t="0" r="0" b="5080"/>
                <wp:wrapSquare wrapText="bothSides"/>
                <wp:docPr id="1711140556" name="Casetă text 1711140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0150F" w14:textId="77777777" w:rsidR="00CB2DC5" w:rsidRPr="000B2F1C" w:rsidRDefault="00CB2DC5" w:rsidP="00CB2DC5">
                            <w:pPr>
                              <w:ind w:left="7080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4CB480D1" w14:textId="77777777" w:rsidR="00CB2DC5" w:rsidRPr="000B2F1C" w:rsidRDefault="00CB2DC5" w:rsidP="00CB2DC5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43BEBDC0" w14:textId="77777777" w:rsidR="00CB2DC5" w:rsidRPr="000B2F1C" w:rsidRDefault="00CB2DC5" w:rsidP="00CB2DC5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07823C4E" w14:textId="77777777" w:rsidR="00CB2DC5" w:rsidRPr="000B2F1C" w:rsidRDefault="00CB2DC5" w:rsidP="00CB2DC5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2A502FBD" w14:textId="77777777" w:rsidR="00CB2DC5" w:rsidRPr="00103D9B" w:rsidRDefault="00CB2DC5" w:rsidP="00CB2DC5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03D4D" id="_x0000_t202" coordsize="21600,21600" o:spt="202" path="m,l,21600r21600,l21600,xe">
                <v:stroke joinstyle="miter"/>
                <v:path gradientshapeok="t" o:connecttype="rect"/>
              </v:shapetype>
              <v:shape id="Casetă text 1711140556" o:spid="_x0000_s1026" type="#_x0000_t202" style="position:absolute;left:0;text-align:left;margin-left:0;margin-top:0;width:496.45pt;height:77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vsFwIAACwEAAAOAAAAZHJzL2Uyb0RvYy54bWysU01vGyEQvVfqf0Dc6127dhqv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" filled="f" stroked="f" strokeweight=".5pt">
                <v:textbox>
                  <w:txbxContent>
                    <w:p w14:paraId="0080150F" w14:textId="77777777" w:rsidR="00CB2DC5" w:rsidRPr="000B2F1C" w:rsidRDefault="00CB2DC5" w:rsidP="00CB2DC5">
                      <w:pPr>
                        <w:ind w:left="7080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4CB480D1" w14:textId="77777777" w:rsidR="00CB2DC5" w:rsidRPr="000B2F1C" w:rsidRDefault="00CB2DC5" w:rsidP="00CB2DC5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43BEBDC0" w14:textId="77777777" w:rsidR="00CB2DC5" w:rsidRPr="000B2F1C" w:rsidRDefault="00CB2DC5" w:rsidP="00CB2DC5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07823C4E" w14:textId="77777777" w:rsidR="00CB2DC5" w:rsidRPr="000B2F1C" w:rsidRDefault="00CB2DC5" w:rsidP="00CB2DC5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2A502FBD" w14:textId="77777777" w:rsidR="00CB2DC5" w:rsidRPr="00103D9B" w:rsidRDefault="00CB2DC5" w:rsidP="00CB2DC5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bCs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A724D" w14:textId="77777777" w:rsidR="00CB2DC5" w:rsidRDefault="00CB2DC5" w:rsidP="00DC5ACB">
      <w:pPr>
        <w:jc w:val="center"/>
        <w:rPr>
          <w:b/>
          <w:sz w:val="28"/>
          <w:lang w:val="ro-MD"/>
        </w:rPr>
      </w:pPr>
    </w:p>
    <w:p w14:paraId="5EC63D2C" w14:textId="072D4C72" w:rsidR="00DC5ACB" w:rsidRPr="00766FD5" w:rsidRDefault="00DC5ACB" w:rsidP="00DC5ACB">
      <w:pPr>
        <w:jc w:val="center"/>
        <w:rPr>
          <w:b/>
          <w:lang w:val="ro-MD"/>
        </w:rPr>
      </w:pPr>
      <w:r w:rsidRPr="00766FD5">
        <w:rPr>
          <w:b/>
          <w:lang w:val="ro-MD"/>
        </w:rPr>
        <w:t>PLANUL TEMATIC</w:t>
      </w:r>
    </w:p>
    <w:p w14:paraId="5B2642E5" w14:textId="2BD1C639" w:rsidR="00DC5ACB" w:rsidRPr="00766FD5" w:rsidRDefault="00DC5ACB" w:rsidP="003A157E">
      <w:pPr>
        <w:jc w:val="center"/>
        <w:rPr>
          <w:b/>
          <w:lang w:val="ro-MD"/>
        </w:rPr>
      </w:pPr>
      <w:r w:rsidRPr="00766FD5">
        <w:rPr>
          <w:b/>
          <w:lang w:val="ro-MD"/>
        </w:rPr>
        <w:t xml:space="preserve">al prelegerilor la Epidemiologie </w:t>
      </w:r>
      <w:r w:rsidR="003A157E" w:rsidRPr="00766FD5">
        <w:rPr>
          <w:b/>
          <w:lang w:val="ro-MD"/>
        </w:rPr>
        <w:t>și profilaxia infecțiilor nosocomiale</w:t>
      </w:r>
      <w:r w:rsidR="00766FD5">
        <w:rPr>
          <w:b/>
          <w:lang w:val="ro-MD"/>
        </w:rPr>
        <w:t xml:space="preserve"> </w:t>
      </w:r>
      <w:r w:rsidRPr="00766FD5">
        <w:rPr>
          <w:b/>
          <w:lang w:val="ro-MD"/>
        </w:rPr>
        <w:t xml:space="preserve">pentru </w:t>
      </w:r>
      <w:r w:rsidR="003A157E" w:rsidRPr="00766FD5">
        <w:rPr>
          <w:b/>
          <w:lang w:val="ro-MD"/>
        </w:rPr>
        <w:t>studenții</w:t>
      </w:r>
      <w:r w:rsidRPr="00766FD5">
        <w:rPr>
          <w:b/>
          <w:lang w:val="ro-MD"/>
        </w:rPr>
        <w:t xml:space="preserve"> </w:t>
      </w:r>
      <w:r w:rsidR="003A157E" w:rsidRPr="00766FD5">
        <w:rPr>
          <w:b/>
          <w:lang w:val="ro-MD"/>
        </w:rPr>
        <w:t xml:space="preserve">facultății </w:t>
      </w:r>
      <w:r w:rsidRPr="00766FD5">
        <w:rPr>
          <w:b/>
          <w:lang w:val="ro-MD"/>
        </w:rPr>
        <w:t xml:space="preserve">Asistență medicală, anul II, semestrul IV, </w:t>
      </w:r>
      <w:r w:rsidR="00766FD5">
        <w:rPr>
          <w:b/>
          <w:lang w:val="ro-MD"/>
        </w:rPr>
        <w:t xml:space="preserve">anul de studiu </w:t>
      </w:r>
      <w:r w:rsidRPr="00766FD5">
        <w:rPr>
          <w:b/>
          <w:lang w:val="ro-MD"/>
        </w:rPr>
        <w:t>20</w:t>
      </w:r>
      <w:r w:rsidR="00AC0BDC" w:rsidRPr="00766FD5">
        <w:rPr>
          <w:b/>
          <w:lang w:val="ro-MD"/>
        </w:rPr>
        <w:t>2</w:t>
      </w:r>
      <w:r w:rsidR="00766FD5">
        <w:rPr>
          <w:b/>
          <w:lang w:val="ro-MD"/>
        </w:rPr>
        <w:t>4</w:t>
      </w:r>
      <w:r w:rsidRPr="00766FD5">
        <w:rPr>
          <w:b/>
          <w:lang w:val="ro-MD"/>
        </w:rPr>
        <w:t>-202</w:t>
      </w:r>
      <w:r w:rsidR="00766FD5">
        <w:rPr>
          <w:b/>
          <w:lang w:val="ro-MD"/>
        </w:rPr>
        <w:t>5</w:t>
      </w:r>
    </w:p>
    <w:p w14:paraId="09876EC3" w14:textId="77777777" w:rsidR="003A157E" w:rsidRPr="003A157E" w:rsidRDefault="003A157E" w:rsidP="003A157E">
      <w:pPr>
        <w:rPr>
          <w:sz w:val="28"/>
          <w:lang w:val="ro-MD"/>
        </w:rPr>
      </w:pPr>
    </w:p>
    <w:p w14:paraId="2BB0F1FA" w14:textId="77777777" w:rsidR="003A157E" w:rsidRDefault="003A157E" w:rsidP="003A157E">
      <w:pPr>
        <w:tabs>
          <w:tab w:val="left" w:pos="2317"/>
        </w:tabs>
        <w:rPr>
          <w:sz w:val="28"/>
          <w:lang w:val="ro-MD"/>
        </w:rPr>
      </w:pPr>
      <w:r>
        <w:rPr>
          <w:sz w:val="28"/>
          <w:lang w:val="ro-MD"/>
        </w:rPr>
        <w:tab/>
      </w:r>
    </w:p>
    <w:p w14:paraId="3E3FD412" w14:textId="77777777" w:rsidR="003A157E" w:rsidRDefault="003A157E" w:rsidP="003A157E">
      <w:pPr>
        <w:tabs>
          <w:tab w:val="left" w:pos="2317"/>
        </w:tabs>
        <w:rPr>
          <w:sz w:val="28"/>
          <w:lang w:val="ro-MD"/>
        </w:rPr>
      </w:pPr>
    </w:p>
    <w:p w14:paraId="31B77E9F" w14:textId="77777777" w:rsidR="003A157E" w:rsidRDefault="003A157E" w:rsidP="003A157E">
      <w:pPr>
        <w:tabs>
          <w:tab w:val="left" w:pos="2317"/>
        </w:tabs>
        <w:rPr>
          <w:sz w:val="28"/>
          <w:lang w:val="ro-MD"/>
        </w:rPr>
      </w:pPr>
    </w:p>
    <w:p w14:paraId="6781698F" w14:textId="77777777" w:rsidR="003A157E" w:rsidRDefault="003A157E" w:rsidP="003A157E">
      <w:pPr>
        <w:tabs>
          <w:tab w:val="left" w:pos="2317"/>
        </w:tabs>
        <w:rPr>
          <w:sz w:val="28"/>
          <w:lang w:val="ro-MD"/>
        </w:rPr>
      </w:pPr>
    </w:p>
    <w:p w14:paraId="16199F56" w14:textId="77777777" w:rsidR="00CB2DC5" w:rsidRDefault="00CB2DC5" w:rsidP="003A157E">
      <w:pPr>
        <w:tabs>
          <w:tab w:val="left" w:pos="2317"/>
        </w:tabs>
        <w:rPr>
          <w:sz w:val="28"/>
          <w:lang w:val="ro-MD"/>
        </w:rPr>
      </w:pPr>
    </w:p>
    <w:p w14:paraId="50C2FB61" w14:textId="77777777" w:rsidR="00CB2DC5" w:rsidRDefault="00CB2DC5" w:rsidP="003A157E">
      <w:pPr>
        <w:tabs>
          <w:tab w:val="left" w:pos="2317"/>
        </w:tabs>
        <w:rPr>
          <w:sz w:val="28"/>
          <w:lang w:val="ro-MD"/>
        </w:rPr>
      </w:pPr>
    </w:p>
    <w:tbl>
      <w:tblPr>
        <w:tblStyle w:val="Tabelgril"/>
        <w:tblpPr w:leftFromText="180" w:rightFromText="180" w:vertAnchor="page" w:horzAnchor="margin" w:tblpY="4421"/>
        <w:tblW w:w="9515" w:type="dxa"/>
        <w:tblLayout w:type="fixed"/>
        <w:tblLook w:val="0000" w:firstRow="0" w:lastRow="0" w:firstColumn="0" w:lastColumn="0" w:noHBand="0" w:noVBand="0"/>
      </w:tblPr>
      <w:tblGrid>
        <w:gridCol w:w="604"/>
        <w:gridCol w:w="8284"/>
        <w:gridCol w:w="627"/>
      </w:tblGrid>
      <w:tr w:rsidR="00FE0C48" w:rsidRPr="00BA370E" w14:paraId="7107116B" w14:textId="77777777" w:rsidTr="00FE0C48">
        <w:trPr>
          <w:trHeight w:val="45"/>
        </w:trPr>
        <w:tc>
          <w:tcPr>
            <w:tcW w:w="604" w:type="dxa"/>
            <w:vMerge w:val="restart"/>
          </w:tcPr>
          <w:p w14:paraId="19868AE9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Nr.</w:t>
            </w:r>
          </w:p>
          <w:p w14:paraId="598BD0D4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d/o</w:t>
            </w:r>
          </w:p>
        </w:tc>
        <w:tc>
          <w:tcPr>
            <w:tcW w:w="8284" w:type="dxa"/>
            <w:vMerge w:val="restart"/>
          </w:tcPr>
          <w:p w14:paraId="63D73A18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ТЕМА</w:t>
            </w:r>
          </w:p>
        </w:tc>
        <w:tc>
          <w:tcPr>
            <w:tcW w:w="627" w:type="dxa"/>
            <w:tcBorders>
              <w:bottom w:val="nil"/>
            </w:tcBorders>
          </w:tcPr>
          <w:p w14:paraId="52DC85D5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Ore</w:t>
            </w:r>
          </w:p>
        </w:tc>
      </w:tr>
      <w:tr w:rsidR="00FE0C48" w:rsidRPr="00BA370E" w14:paraId="1864F696" w14:textId="77777777" w:rsidTr="00FE0C48">
        <w:trPr>
          <w:trHeight w:val="45"/>
        </w:trPr>
        <w:tc>
          <w:tcPr>
            <w:tcW w:w="604" w:type="dxa"/>
            <w:vMerge/>
          </w:tcPr>
          <w:p w14:paraId="37343C4B" w14:textId="77777777" w:rsidR="00FE0C48" w:rsidRPr="00BA370E" w:rsidRDefault="00FE0C48" w:rsidP="00FE0C48">
            <w:pPr>
              <w:jc w:val="both"/>
              <w:rPr>
                <w:color w:val="FF0000"/>
                <w:lang w:val="ro-RO"/>
              </w:rPr>
            </w:pPr>
          </w:p>
        </w:tc>
        <w:tc>
          <w:tcPr>
            <w:tcW w:w="8284" w:type="dxa"/>
            <w:vMerge/>
          </w:tcPr>
          <w:p w14:paraId="69F9DDFD" w14:textId="77777777" w:rsidR="00FE0C48" w:rsidRPr="00BA370E" w:rsidRDefault="00FE0C48" w:rsidP="00FE0C48">
            <w:pPr>
              <w:jc w:val="both"/>
              <w:rPr>
                <w:color w:val="FF0000"/>
                <w:lang w:val="ro-RO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31C61D76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</w:p>
        </w:tc>
      </w:tr>
      <w:tr w:rsidR="002D43AD" w:rsidRPr="00BA370E" w14:paraId="5EA9EAC3" w14:textId="77777777" w:rsidTr="00FE0C48">
        <w:trPr>
          <w:trHeight w:val="835"/>
        </w:trPr>
        <w:tc>
          <w:tcPr>
            <w:tcW w:w="604" w:type="dxa"/>
          </w:tcPr>
          <w:p w14:paraId="74548D3D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6ABB5891" w14:textId="2F54D325" w:rsidR="002D43AD" w:rsidRPr="00BA370E" w:rsidRDefault="002D43AD" w:rsidP="002D43AD">
            <w:pPr>
              <w:jc w:val="both"/>
              <w:rPr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 xml:space="preserve">Definiția epidemiologiei. Locul şi rolul epidemiologiei în știința și practica medicală. </w:t>
            </w:r>
            <w:r>
              <w:rPr>
                <w:color w:val="000000" w:themeColor="text1"/>
                <w:lang w:val="ro-RO"/>
              </w:rPr>
              <w:t xml:space="preserve"> Epidemiologia maladiilor transmisibile și netransmisibile.</w:t>
            </w:r>
            <w:r w:rsidRPr="00285499">
              <w:rPr>
                <w:color w:val="000000" w:themeColor="text1"/>
                <w:lang w:val="ro-RO"/>
              </w:rPr>
              <w:t xml:space="preserve"> Procesul epidemic. Bazele teoretice ale studiului despre procesul epidemic. Structura, factorii, mecanismul de dezvoltare și manifestările procesului epidemic. </w:t>
            </w:r>
            <w:r>
              <w:rPr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27" w:type="dxa"/>
          </w:tcPr>
          <w:p w14:paraId="304192CF" w14:textId="77777777" w:rsidR="002D43AD" w:rsidRPr="00BA370E" w:rsidRDefault="002D43AD" w:rsidP="002D43AD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2</w:t>
            </w:r>
          </w:p>
        </w:tc>
      </w:tr>
      <w:tr w:rsidR="002D43AD" w:rsidRPr="00766FD5" w14:paraId="1910B3E6" w14:textId="77777777" w:rsidTr="006F4B6F">
        <w:trPr>
          <w:trHeight w:val="715"/>
        </w:trPr>
        <w:tc>
          <w:tcPr>
            <w:tcW w:w="604" w:type="dxa"/>
          </w:tcPr>
          <w:p w14:paraId="5BE55DCD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094C6415" w14:textId="2DF556BC" w:rsidR="002D43AD" w:rsidRPr="00BA370E" w:rsidRDefault="002D43AD" w:rsidP="002D43AD">
            <w:pPr>
              <w:jc w:val="both"/>
              <w:rPr>
                <w:lang w:val="ro-RO"/>
              </w:rPr>
            </w:pPr>
            <w:r w:rsidRPr="00237692">
              <w:rPr>
                <w:lang w:val="ro-RO"/>
              </w:rPr>
              <w:t>Sistemul de măsuri antiepidemice. Măsurile antiepidemice îndreptate la sursă, mecanismul de transmitere și receptivitate (imunoprofilaxie)</w:t>
            </w:r>
          </w:p>
        </w:tc>
        <w:tc>
          <w:tcPr>
            <w:tcW w:w="627" w:type="dxa"/>
          </w:tcPr>
          <w:p w14:paraId="52A82E9A" w14:textId="5D082B5A" w:rsidR="002D43AD" w:rsidRPr="00BA370E" w:rsidRDefault="00766FD5" w:rsidP="002D43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2D43AD" w:rsidRPr="00BA370E" w14:paraId="00354AD8" w14:textId="77777777" w:rsidTr="00FE0C48">
        <w:trPr>
          <w:trHeight w:val="835"/>
        </w:trPr>
        <w:tc>
          <w:tcPr>
            <w:tcW w:w="604" w:type="dxa"/>
          </w:tcPr>
          <w:p w14:paraId="4E8AFCAD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450C493F" w14:textId="703E5A9D" w:rsidR="002D43AD" w:rsidRPr="00BA370E" w:rsidRDefault="002D43AD" w:rsidP="002D43AD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Introducere în Programul de Prevenire și Control a Infecțiilor. Epidemiologia infecțiilor asociate asistenței medicale.</w:t>
            </w:r>
          </w:p>
        </w:tc>
        <w:tc>
          <w:tcPr>
            <w:tcW w:w="627" w:type="dxa"/>
          </w:tcPr>
          <w:p w14:paraId="0362CBE9" w14:textId="1D73F709" w:rsidR="002D43AD" w:rsidRPr="00BA370E" w:rsidRDefault="00766FD5" w:rsidP="002D43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2D43AD" w:rsidRPr="00BA370E" w14:paraId="7481EF59" w14:textId="77777777" w:rsidTr="00FE0C48">
        <w:trPr>
          <w:trHeight w:val="283"/>
        </w:trPr>
        <w:tc>
          <w:tcPr>
            <w:tcW w:w="604" w:type="dxa"/>
          </w:tcPr>
          <w:p w14:paraId="37A01355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13126B37" w14:textId="77777777" w:rsidR="002D43AD" w:rsidRPr="00BA370E" w:rsidRDefault="002D43AD" w:rsidP="002D43AD">
            <w:pPr>
              <w:jc w:val="both"/>
              <w:rPr>
                <w:lang w:val="ro-MD"/>
              </w:rPr>
            </w:pPr>
            <w:r w:rsidRPr="00BA370E">
              <w:rPr>
                <w:lang w:val="ro-RO"/>
              </w:rPr>
              <w:t>Verigile procesului de transmitere a infecțiilor asociate asistenței medicale. Prevenirea rezistenței antimicrobiene. Controlul răspândirii bacteriilor rezistente la antimicrobiene.</w:t>
            </w:r>
          </w:p>
        </w:tc>
        <w:tc>
          <w:tcPr>
            <w:tcW w:w="627" w:type="dxa"/>
          </w:tcPr>
          <w:p w14:paraId="44A7CD76" w14:textId="77777777" w:rsidR="002D43AD" w:rsidRPr="00BA370E" w:rsidRDefault="002D43AD" w:rsidP="002D43AD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2</w:t>
            </w:r>
          </w:p>
        </w:tc>
      </w:tr>
      <w:tr w:rsidR="002D43AD" w:rsidRPr="00BA370E" w14:paraId="2C9FD2F5" w14:textId="77777777" w:rsidTr="00974FD7">
        <w:trPr>
          <w:trHeight w:val="579"/>
        </w:trPr>
        <w:tc>
          <w:tcPr>
            <w:tcW w:w="604" w:type="dxa"/>
          </w:tcPr>
          <w:p w14:paraId="37C80E1D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10D22DDA" w14:textId="77777777" w:rsidR="002D43AD" w:rsidRPr="00BA370E" w:rsidRDefault="002D43AD" w:rsidP="002D43AD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Precauții standard. Igiena mâinilor. Echipamentul personal de protecție. Igiena mediului.</w:t>
            </w:r>
          </w:p>
        </w:tc>
        <w:tc>
          <w:tcPr>
            <w:tcW w:w="627" w:type="dxa"/>
          </w:tcPr>
          <w:p w14:paraId="6A35CA53" w14:textId="77777777" w:rsidR="002D43AD" w:rsidRPr="00BA370E" w:rsidRDefault="002D43AD" w:rsidP="002D43AD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2</w:t>
            </w:r>
          </w:p>
        </w:tc>
      </w:tr>
      <w:tr w:rsidR="002D43AD" w:rsidRPr="00BA370E" w14:paraId="125862F2" w14:textId="77777777" w:rsidTr="00FE0C48">
        <w:trPr>
          <w:trHeight w:val="756"/>
        </w:trPr>
        <w:tc>
          <w:tcPr>
            <w:tcW w:w="604" w:type="dxa"/>
          </w:tcPr>
          <w:p w14:paraId="0A6CBDB3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08B63474" w14:textId="2FD5A9FF" w:rsidR="002D43AD" w:rsidRPr="00BA370E" w:rsidRDefault="002D43AD" w:rsidP="002D43AD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Precauții bazate pe transmiterea infecțiilor asociate asistenței medicale: precauții de contact, aerogene, prin picături. Prevenirea răspândirii infecți</w:t>
            </w:r>
            <w:r w:rsidR="008D161B">
              <w:rPr>
                <w:lang w:val="ro-RO"/>
              </w:rPr>
              <w:t>ilor</w:t>
            </w:r>
            <w:r w:rsidR="00F508C0">
              <w:rPr>
                <w:lang w:val="ro-RO"/>
              </w:rPr>
              <w:t xml:space="preserve"> asociate asistenței medicale:</w:t>
            </w:r>
            <w:r w:rsidRPr="00BA370E">
              <w:rPr>
                <w:lang w:val="ro-RO"/>
              </w:rPr>
              <w:t xml:space="preserve"> Cl.</w:t>
            </w:r>
            <w:r>
              <w:rPr>
                <w:lang w:val="ro-RO"/>
              </w:rPr>
              <w:t xml:space="preserve"> </w:t>
            </w:r>
            <w:r w:rsidRPr="00BA370E">
              <w:rPr>
                <w:i/>
                <w:lang w:val="ro-RO"/>
              </w:rPr>
              <w:t xml:space="preserve">difficile </w:t>
            </w:r>
            <w:r w:rsidRPr="00BA370E">
              <w:rPr>
                <w:lang w:val="ro-RO"/>
              </w:rPr>
              <w:t>și</w:t>
            </w:r>
            <w:r w:rsidRPr="00BA370E">
              <w:rPr>
                <w:i/>
                <w:lang w:val="ro-RO"/>
              </w:rPr>
              <w:t xml:space="preserve"> </w:t>
            </w:r>
            <w:r w:rsidRPr="00BA370E">
              <w:rPr>
                <w:lang w:val="ro-RO"/>
              </w:rPr>
              <w:t>infecțiilor respiratorii virale acute, infecției COVID-19</w:t>
            </w:r>
            <w:r w:rsidR="00F508C0">
              <w:rPr>
                <w:lang w:val="ro-RO"/>
              </w:rPr>
              <w:t xml:space="preserve">, plagă chirurgicală, pneumonii </w:t>
            </w:r>
            <w:r w:rsidR="00D50F90">
              <w:rPr>
                <w:lang w:val="ro-RO"/>
              </w:rPr>
              <w:t>VAP</w:t>
            </w:r>
            <w:r w:rsidR="00F508C0">
              <w:rPr>
                <w:lang w:val="ro-RO"/>
              </w:rPr>
              <w:t>, asociate cateterizării urinare, vasculare</w:t>
            </w:r>
            <w:r w:rsidR="00D50F90">
              <w:rPr>
                <w:lang w:val="ro-RO"/>
              </w:rPr>
              <w:t>, ș.a.</w:t>
            </w:r>
            <w:r w:rsidRPr="00BA370E">
              <w:rPr>
                <w:lang w:val="ro-RO"/>
              </w:rPr>
              <w:t xml:space="preserve">   </w:t>
            </w:r>
          </w:p>
        </w:tc>
        <w:tc>
          <w:tcPr>
            <w:tcW w:w="627" w:type="dxa"/>
          </w:tcPr>
          <w:p w14:paraId="5106F100" w14:textId="77777777" w:rsidR="002D43AD" w:rsidRPr="00BA370E" w:rsidRDefault="002D43AD" w:rsidP="002D43AD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2</w:t>
            </w:r>
          </w:p>
        </w:tc>
      </w:tr>
      <w:tr w:rsidR="002D43AD" w:rsidRPr="00BA370E" w14:paraId="68957C5A" w14:textId="77777777" w:rsidTr="00FE0C48">
        <w:trPr>
          <w:trHeight w:val="219"/>
        </w:trPr>
        <w:tc>
          <w:tcPr>
            <w:tcW w:w="604" w:type="dxa"/>
          </w:tcPr>
          <w:p w14:paraId="0D1576FE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0B829B16" w14:textId="77777777" w:rsidR="002D43AD" w:rsidRPr="00BA370E" w:rsidRDefault="002D43AD" w:rsidP="002D43AD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Siguranța injecțiilor. Gestionarea deșeurilor rezultate din activitatea medicală.</w:t>
            </w:r>
          </w:p>
        </w:tc>
        <w:tc>
          <w:tcPr>
            <w:tcW w:w="627" w:type="dxa"/>
          </w:tcPr>
          <w:p w14:paraId="2C843FEF" w14:textId="77777777" w:rsidR="002D43AD" w:rsidRPr="00BA370E" w:rsidRDefault="002D43AD" w:rsidP="002D43AD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2</w:t>
            </w:r>
          </w:p>
        </w:tc>
      </w:tr>
      <w:tr w:rsidR="002D43AD" w:rsidRPr="00BA370E" w14:paraId="2D8A0640" w14:textId="77777777" w:rsidTr="00FE0C48">
        <w:trPr>
          <w:trHeight w:val="219"/>
        </w:trPr>
        <w:tc>
          <w:tcPr>
            <w:tcW w:w="604" w:type="dxa"/>
          </w:tcPr>
          <w:p w14:paraId="49D0824E" w14:textId="77777777" w:rsidR="002D43AD" w:rsidRPr="00BA370E" w:rsidRDefault="002D43AD" w:rsidP="002D43A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284" w:type="dxa"/>
          </w:tcPr>
          <w:p w14:paraId="5F23BC9B" w14:textId="64A0AB11" w:rsidR="002D43AD" w:rsidRPr="00BA370E" w:rsidRDefault="00AA3065" w:rsidP="002D43AD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Prevenirea și gestionarea erupțiilor asociate asistenței medicale</w:t>
            </w:r>
          </w:p>
        </w:tc>
        <w:tc>
          <w:tcPr>
            <w:tcW w:w="627" w:type="dxa"/>
          </w:tcPr>
          <w:p w14:paraId="79077114" w14:textId="332A8E1D" w:rsidR="002D43AD" w:rsidRPr="00BA370E" w:rsidRDefault="00653257" w:rsidP="002D43A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2D43AD" w:rsidRPr="00BA370E" w14:paraId="4E072AA2" w14:textId="77777777" w:rsidTr="00FE0C48">
        <w:trPr>
          <w:trHeight w:val="624"/>
        </w:trPr>
        <w:tc>
          <w:tcPr>
            <w:tcW w:w="8888" w:type="dxa"/>
            <w:gridSpan w:val="2"/>
          </w:tcPr>
          <w:p w14:paraId="5FB9EEDD" w14:textId="77777777" w:rsidR="002D43AD" w:rsidRPr="00BA370E" w:rsidRDefault="002D43AD" w:rsidP="002D43AD">
            <w:pPr>
              <w:pStyle w:val="FR3"/>
              <w:spacing w:before="0"/>
              <w:ind w:left="79"/>
              <w:jc w:val="both"/>
              <w:rPr>
                <w:b/>
                <w:sz w:val="24"/>
                <w:szCs w:val="24"/>
                <w:lang w:val="ro-RO"/>
              </w:rPr>
            </w:pPr>
            <w:r w:rsidRPr="00BA370E"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627" w:type="dxa"/>
          </w:tcPr>
          <w:p w14:paraId="7B0D7324" w14:textId="77777777" w:rsidR="002D43AD" w:rsidRPr="00BA370E" w:rsidRDefault="002D43AD" w:rsidP="002D43AD">
            <w:pPr>
              <w:pStyle w:val="FR3"/>
              <w:spacing w:before="0"/>
              <w:ind w:left="79"/>
              <w:rPr>
                <w:b/>
                <w:sz w:val="24"/>
                <w:szCs w:val="24"/>
                <w:lang w:val="ro-RO"/>
              </w:rPr>
            </w:pPr>
            <w:r w:rsidRPr="00BA370E">
              <w:rPr>
                <w:b/>
                <w:color w:val="000000" w:themeColor="text1"/>
                <w:sz w:val="24"/>
                <w:szCs w:val="24"/>
                <w:lang w:val="ro-RO"/>
              </w:rPr>
              <w:t>15</w:t>
            </w:r>
          </w:p>
        </w:tc>
      </w:tr>
    </w:tbl>
    <w:p w14:paraId="6ABB7DF2" w14:textId="77777777" w:rsidR="003A157E" w:rsidRDefault="003A157E" w:rsidP="003A157E">
      <w:pPr>
        <w:tabs>
          <w:tab w:val="left" w:pos="2317"/>
        </w:tabs>
        <w:rPr>
          <w:sz w:val="28"/>
          <w:lang w:val="ro-MD"/>
        </w:rPr>
      </w:pPr>
    </w:p>
    <w:p w14:paraId="4F18FD56" w14:textId="77777777" w:rsidR="00FE0C48" w:rsidRDefault="00FE0C48" w:rsidP="003A157E">
      <w:pPr>
        <w:tabs>
          <w:tab w:val="left" w:pos="2317"/>
        </w:tabs>
        <w:rPr>
          <w:sz w:val="28"/>
          <w:lang w:val="ro-MD"/>
        </w:rPr>
      </w:pPr>
    </w:p>
    <w:p w14:paraId="77070DA3" w14:textId="77777777" w:rsidR="0029026A" w:rsidRDefault="0029026A" w:rsidP="003A157E">
      <w:pPr>
        <w:tabs>
          <w:tab w:val="left" w:pos="2317"/>
        </w:tabs>
        <w:rPr>
          <w:sz w:val="28"/>
          <w:lang w:val="ro-MD"/>
        </w:rPr>
      </w:pPr>
    </w:p>
    <w:p w14:paraId="28A148BD" w14:textId="77777777" w:rsidR="00766FD5" w:rsidRDefault="00766FD5" w:rsidP="00CB10E8">
      <w:pPr>
        <w:jc w:val="both"/>
        <w:rPr>
          <w:lang w:val="ro-MD"/>
        </w:rPr>
      </w:pPr>
    </w:p>
    <w:p w14:paraId="54CB3867" w14:textId="09DE1A3D" w:rsidR="00CB10E8" w:rsidRPr="00766FD5" w:rsidRDefault="00CB2DC5" w:rsidP="00CB10E8">
      <w:pPr>
        <w:jc w:val="both"/>
        <w:rPr>
          <w:lang w:val="ro-MD"/>
        </w:rPr>
      </w:pPr>
      <w:r w:rsidRPr="00766FD5">
        <w:rPr>
          <w:lang w:val="ro-MD"/>
        </w:rPr>
        <w:t>Șef</w:t>
      </w:r>
      <w:r w:rsidR="00CB10E8" w:rsidRPr="00766FD5">
        <w:rPr>
          <w:lang w:val="ro-MD"/>
        </w:rPr>
        <w:t xml:space="preserve"> </w:t>
      </w:r>
      <w:r w:rsidR="00AC0BDC" w:rsidRPr="00766FD5">
        <w:rPr>
          <w:lang w:val="ro-MD"/>
        </w:rPr>
        <w:t>disciplina de e</w:t>
      </w:r>
      <w:r w:rsidR="00CB10E8" w:rsidRPr="00766FD5">
        <w:rPr>
          <w:lang w:val="ro-MD"/>
        </w:rPr>
        <w:t>pidemiologie,</w:t>
      </w:r>
    </w:p>
    <w:p w14:paraId="0C61E3E9" w14:textId="50A0415A" w:rsidR="003A157E" w:rsidRDefault="00CB10E8" w:rsidP="003A157E">
      <w:pPr>
        <w:tabs>
          <w:tab w:val="left" w:pos="2317"/>
        </w:tabs>
        <w:rPr>
          <w:sz w:val="28"/>
          <w:lang w:val="ro-MD"/>
        </w:rPr>
      </w:pPr>
      <w:r w:rsidRPr="00766FD5">
        <w:rPr>
          <w:lang w:val="ro-MD"/>
        </w:rPr>
        <w:t xml:space="preserve">dr. șt. med., conf. univ.                                                        </w:t>
      </w:r>
      <w:r w:rsidR="00946768" w:rsidRPr="00766FD5">
        <w:rPr>
          <w:lang w:val="ro-MD"/>
        </w:rPr>
        <w:tab/>
      </w:r>
      <w:r w:rsidR="00766FD5">
        <w:rPr>
          <w:lang w:val="ro-MD"/>
        </w:rPr>
        <w:tab/>
      </w:r>
      <w:r w:rsidR="00766FD5">
        <w:rPr>
          <w:lang w:val="ro-MD"/>
        </w:rPr>
        <w:tab/>
      </w:r>
      <w:r w:rsidRPr="00766FD5">
        <w:rPr>
          <w:lang w:val="ro-MD"/>
        </w:rPr>
        <w:t xml:space="preserve"> </w:t>
      </w:r>
      <w:r w:rsidR="00946768" w:rsidRPr="00766FD5">
        <w:rPr>
          <w:lang w:val="ro-MD"/>
        </w:rPr>
        <w:t>Diana Spătaru</w:t>
      </w:r>
    </w:p>
    <w:p w14:paraId="05167B18" w14:textId="1E9AD32C" w:rsidR="00FE0C48" w:rsidRDefault="00CB2DC5" w:rsidP="003A157E">
      <w:pPr>
        <w:pStyle w:val="Titlu1"/>
        <w:spacing w:line="240" w:lineRule="auto"/>
        <w:ind w:left="-284"/>
        <w:jc w:val="center"/>
        <w:rPr>
          <w:b/>
          <w:lang w:val="ro-M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402DF" wp14:editId="3485AC3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4915" cy="985520"/>
                <wp:effectExtent l="0" t="0" r="0" b="5080"/>
                <wp:wrapSquare wrapText="bothSides"/>
                <wp:docPr id="2046083573" name="Casetă text 204608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57C49" w14:textId="77777777" w:rsidR="00CB2DC5" w:rsidRPr="000B2F1C" w:rsidRDefault="00CB2DC5" w:rsidP="00CB2DC5">
                            <w:pPr>
                              <w:ind w:left="7080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3B9DF109" w14:textId="77777777" w:rsidR="00CB2DC5" w:rsidRPr="000B2F1C" w:rsidRDefault="00CB2DC5" w:rsidP="00CB2DC5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3534AB0E" w14:textId="77777777" w:rsidR="00CB2DC5" w:rsidRPr="000B2F1C" w:rsidRDefault="00CB2DC5" w:rsidP="00CB2DC5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4093082F" w14:textId="77777777" w:rsidR="00CB2DC5" w:rsidRPr="000B2F1C" w:rsidRDefault="00CB2DC5" w:rsidP="00CB2DC5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63ADD394" w14:textId="77777777" w:rsidR="00CB2DC5" w:rsidRPr="00103D9B" w:rsidRDefault="00CB2DC5" w:rsidP="00CB2DC5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02DF" id="Casetă text 2046083573" o:spid="_x0000_s1027" type="#_x0000_t202" style="position:absolute;left:0;text-align:left;margin-left:0;margin-top:0;width:496.45pt;height:77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ppGQIAADMEAAAOAAAAZHJzL2Uyb0RvYy54bWysU01vGyEQvVfqf0Dc4107dhqvvI7cRK4q&#10;WUkkp8oZs+BdCRgK2Lvur+/A+ktpT1UvMDDDfLz3mD10WpG9cL4BU9LhIKdEGA5VY7Yl/fG2vLmn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" filled="f" stroked="f" strokeweight=".5pt">
                <v:textbox>
                  <w:txbxContent>
                    <w:p w14:paraId="64A57C49" w14:textId="77777777" w:rsidR="00CB2DC5" w:rsidRPr="000B2F1C" w:rsidRDefault="00CB2DC5" w:rsidP="00CB2DC5">
                      <w:pPr>
                        <w:ind w:left="7080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3B9DF109" w14:textId="77777777" w:rsidR="00CB2DC5" w:rsidRPr="000B2F1C" w:rsidRDefault="00CB2DC5" w:rsidP="00CB2DC5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3534AB0E" w14:textId="77777777" w:rsidR="00CB2DC5" w:rsidRPr="000B2F1C" w:rsidRDefault="00CB2DC5" w:rsidP="00CB2DC5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4093082F" w14:textId="77777777" w:rsidR="00CB2DC5" w:rsidRPr="000B2F1C" w:rsidRDefault="00CB2DC5" w:rsidP="00CB2DC5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63ADD394" w14:textId="77777777" w:rsidR="00CB2DC5" w:rsidRPr="00103D9B" w:rsidRDefault="00CB2DC5" w:rsidP="00CB2DC5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bCs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222265" w14:textId="77777777" w:rsidR="00CB2DC5" w:rsidRDefault="00CB2DC5" w:rsidP="003A157E">
      <w:pPr>
        <w:pStyle w:val="Titlu1"/>
        <w:spacing w:line="240" w:lineRule="auto"/>
        <w:ind w:left="-284"/>
        <w:jc w:val="center"/>
        <w:rPr>
          <w:b/>
          <w:lang w:val="ro-MD"/>
        </w:rPr>
      </w:pPr>
    </w:p>
    <w:p w14:paraId="22710B3B" w14:textId="2A5FD95A" w:rsidR="003A157E" w:rsidRPr="00766FD5" w:rsidRDefault="003A157E" w:rsidP="003A157E">
      <w:pPr>
        <w:pStyle w:val="Titlu1"/>
        <w:spacing w:line="240" w:lineRule="auto"/>
        <w:ind w:left="-284"/>
        <w:jc w:val="center"/>
        <w:rPr>
          <w:b/>
          <w:sz w:val="24"/>
          <w:szCs w:val="24"/>
          <w:lang w:val="ro-MD"/>
        </w:rPr>
      </w:pPr>
      <w:r w:rsidRPr="00766FD5">
        <w:rPr>
          <w:b/>
          <w:sz w:val="24"/>
          <w:szCs w:val="24"/>
          <w:lang w:val="ro-MD"/>
        </w:rPr>
        <w:t>PLANUL TEMATIC</w:t>
      </w:r>
    </w:p>
    <w:p w14:paraId="04168272" w14:textId="702881CB" w:rsidR="003A157E" w:rsidRPr="00766FD5" w:rsidRDefault="003A157E" w:rsidP="003A157E">
      <w:pPr>
        <w:jc w:val="center"/>
        <w:rPr>
          <w:b/>
          <w:lang w:val="ro-MD"/>
        </w:rPr>
      </w:pPr>
      <w:r w:rsidRPr="00766FD5">
        <w:rPr>
          <w:b/>
          <w:lang w:val="ro-MD"/>
        </w:rPr>
        <w:t>al lucrărilor practice la Epidemiologie și profilaxia infecțiilor nosocomiale</w:t>
      </w:r>
      <w:r w:rsidR="00766FD5">
        <w:rPr>
          <w:b/>
          <w:lang w:val="ro-MD"/>
        </w:rPr>
        <w:t xml:space="preserve"> </w:t>
      </w:r>
      <w:r w:rsidRPr="00766FD5">
        <w:rPr>
          <w:b/>
          <w:lang w:val="ro-MD"/>
        </w:rPr>
        <w:t xml:space="preserve">pentru studenții facultății Asistență medicală, anul II, semestrul IV, </w:t>
      </w:r>
      <w:r w:rsidR="00766FD5">
        <w:rPr>
          <w:b/>
          <w:lang w:val="ro-MD"/>
        </w:rPr>
        <w:t xml:space="preserve">anul de studiu </w:t>
      </w:r>
      <w:r w:rsidRPr="00766FD5">
        <w:rPr>
          <w:b/>
          <w:lang w:val="ro-MD"/>
        </w:rPr>
        <w:t>20</w:t>
      </w:r>
      <w:r w:rsidR="00AC0BDC" w:rsidRPr="00766FD5">
        <w:rPr>
          <w:b/>
          <w:lang w:val="ro-MD"/>
        </w:rPr>
        <w:t>2</w:t>
      </w:r>
      <w:r w:rsidR="00766FD5">
        <w:rPr>
          <w:b/>
          <w:lang w:val="ro-MD"/>
        </w:rPr>
        <w:t>4</w:t>
      </w:r>
      <w:r w:rsidRPr="00766FD5">
        <w:rPr>
          <w:b/>
          <w:lang w:val="ro-MD"/>
        </w:rPr>
        <w:t>-202</w:t>
      </w:r>
      <w:r w:rsidR="00766FD5">
        <w:rPr>
          <w:b/>
          <w:lang w:val="ro-MD"/>
        </w:rPr>
        <w:t>5</w:t>
      </w:r>
    </w:p>
    <w:p w14:paraId="6E96F94C" w14:textId="77777777" w:rsidR="00CB10E8" w:rsidRDefault="00CB10E8" w:rsidP="003A157E">
      <w:pPr>
        <w:jc w:val="center"/>
        <w:rPr>
          <w:b/>
          <w:sz w:val="28"/>
          <w:lang w:val="ro-MD"/>
        </w:rPr>
      </w:pPr>
    </w:p>
    <w:p w14:paraId="71BA5814" w14:textId="77777777" w:rsidR="005E520D" w:rsidRDefault="005E520D" w:rsidP="003A157E">
      <w:pPr>
        <w:jc w:val="center"/>
        <w:rPr>
          <w:b/>
          <w:sz w:val="28"/>
          <w:lang w:val="ro-MD"/>
        </w:rPr>
      </w:pPr>
    </w:p>
    <w:tbl>
      <w:tblPr>
        <w:tblStyle w:val="Tabelgril"/>
        <w:tblpPr w:leftFromText="180" w:rightFromText="180" w:vertAnchor="text" w:horzAnchor="margin" w:tblpY="37"/>
        <w:tblW w:w="9891" w:type="dxa"/>
        <w:tblLayout w:type="fixed"/>
        <w:tblLook w:val="0000" w:firstRow="0" w:lastRow="0" w:firstColumn="0" w:lastColumn="0" w:noHBand="0" w:noVBand="0"/>
      </w:tblPr>
      <w:tblGrid>
        <w:gridCol w:w="562"/>
        <w:gridCol w:w="8668"/>
        <w:gridCol w:w="661"/>
      </w:tblGrid>
      <w:tr w:rsidR="00FE0C48" w:rsidRPr="00BA370E" w14:paraId="3C713501" w14:textId="77777777" w:rsidTr="004A4DD0">
        <w:trPr>
          <w:trHeight w:val="880"/>
        </w:trPr>
        <w:tc>
          <w:tcPr>
            <w:tcW w:w="562" w:type="dxa"/>
          </w:tcPr>
          <w:p w14:paraId="54660897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Nr.</w:t>
            </w:r>
          </w:p>
          <w:p w14:paraId="69645B46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d/o</w:t>
            </w:r>
          </w:p>
        </w:tc>
        <w:tc>
          <w:tcPr>
            <w:tcW w:w="8668" w:type="dxa"/>
          </w:tcPr>
          <w:p w14:paraId="4A0E8524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 w:rsidRPr="00BA370E">
              <w:rPr>
                <w:b/>
                <w:lang w:val="ro-RO"/>
              </w:rPr>
              <w:t>ТЕМА</w:t>
            </w:r>
          </w:p>
        </w:tc>
        <w:tc>
          <w:tcPr>
            <w:tcW w:w="661" w:type="dxa"/>
          </w:tcPr>
          <w:p w14:paraId="2A168175" w14:textId="77777777" w:rsidR="00FE0C48" w:rsidRPr="00BA370E" w:rsidRDefault="00FE0C48" w:rsidP="00FE0C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Oe</w:t>
            </w:r>
          </w:p>
        </w:tc>
      </w:tr>
      <w:tr w:rsidR="00F916F6" w:rsidRPr="00A25D44" w14:paraId="16C052AF" w14:textId="77777777" w:rsidTr="004A4DD0">
        <w:trPr>
          <w:trHeight w:val="670"/>
        </w:trPr>
        <w:tc>
          <w:tcPr>
            <w:tcW w:w="562" w:type="dxa"/>
          </w:tcPr>
          <w:p w14:paraId="662C19A2" w14:textId="188E0815" w:rsidR="00F916F6" w:rsidRPr="00BA4206" w:rsidRDefault="00F916F6" w:rsidP="004A4DD0">
            <w:pPr>
              <w:pStyle w:val="Listparagraf"/>
              <w:numPr>
                <w:ilvl w:val="1"/>
                <w:numId w:val="7"/>
              </w:numPr>
              <w:ind w:left="447"/>
              <w:rPr>
                <w:bCs/>
                <w:lang w:val="ro-RO"/>
              </w:rPr>
            </w:pPr>
          </w:p>
        </w:tc>
        <w:tc>
          <w:tcPr>
            <w:tcW w:w="8668" w:type="dxa"/>
          </w:tcPr>
          <w:p w14:paraId="44E04174" w14:textId="3B67A27B" w:rsidR="00F916F6" w:rsidRPr="00BA370E" w:rsidRDefault="00F916F6" w:rsidP="00CF45C1">
            <w:pPr>
              <w:jc w:val="both"/>
              <w:rPr>
                <w:b/>
                <w:lang w:val="ro-RO"/>
              </w:rPr>
            </w:pPr>
            <w:r w:rsidRPr="00237692">
              <w:rPr>
                <w:lang w:val="ro-RO"/>
              </w:rPr>
              <w:t xml:space="preserve">Procesul epidemic. Structura, factorii şi mecanismul de dezvoltare a procesului epidemic. Manifestările procesului epidemic. </w:t>
            </w:r>
          </w:p>
        </w:tc>
        <w:tc>
          <w:tcPr>
            <w:tcW w:w="661" w:type="dxa"/>
          </w:tcPr>
          <w:p w14:paraId="6A3BE4AB" w14:textId="7BE55A18" w:rsidR="00F916F6" w:rsidRDefault="00B84198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F916F6" w14:paraId="4AE230CC" w14:textId="77777777" w:rsidTr="004A4DD0">
        <w:trPr>
          <w:trHeight w:val="611"/>
        </w:trPr>
        <w:tc>
          <w:tcPr>
            <w:tcW w:w="562" w:type="dxa"/>
          </w:tcPr>
          <w:p w14:paraId="6FDD00F0" w14:textId="0C3B46DE" w:rsidR="00F916F6" w:rsidRPr="00BA4206" w:rsidRDefault="00F916F6" w:rsidP="004A4DD0">
            <w:pPr>
              <w:pStyle w:val="Listparagraf"/>
              <w:numPr>
                <w:ilvl w:val="1"/>
                <w:numId w:val="7"/>
              </w:numPr>
              <w:ind w:left="447"/>
              <w:rPr>
                <w:bCs/>
                <w:lang w:val="ro-RO"/>
              </w:rPr>
            </w:pPr>
          </w:p>
        </w:tc>
        <w:tc>
          <w:tcPr>
            <w:tcW w:w="8668" w:type="dxa"/>
          </w:tcPr>
          <w:p w14:paraId="0C79E93B" w14:textId="732CA8FA" w:rsidR="00F916F6" w:rsidRPr="00BA370E" w:rsidRDefault="00F916F6" w:rsidP="00CF45C1">
            <w:pPr>
              <w:jc w:val="both"/>
              <w:rPr>
                <w:b/>
                <w:lang w:val="ro-RO"/>
              </w:rPr>
            </w:pPr>
            <w:r w:rsidRPr="00237692">
              <w:rPr>
                <w:lang w:val="ro-RO"/>
              </w:rPr>
              <w:t>Măsurile antiepidemice îndreptate la sursa de agenţi patogeni şi la mecanismul de transmitere.</w:t>
            </w:r>
            <w:r w:rsidR="00800675" w:rsidRPr="00237692">
              <w:rPr>
                <w:lang w:val="ro-RO"/>
              </w:rPr>
              <w:t xml:space="preserve"> </w:t>
            </w:r>
            <w:r w:rsidR="00800675" w:rsidRPr="00237692">
              <w:rPr>
                <w:lang w:val="ro-RO"/>
              </w:rPr>
              <w:t>Imunoprofilaxia</w:t>
            </w:r>
            <w:r w:rsidR="00800675">
              <w:rPr>
                <w:lang w:val="ro-RO"/>
              </w:rPr>
              <w:t xml:space="preserve"> bolilor infecțioase.</w:t>
            </w:r>
          </w:p>
        </w:tc>
        <w:tc>
          <w:tcPr>
            <w:tcW w:w="661" w:type="dxa"/>
          </w:tcPr>
          <w:p w14:paraId="3BF54198" w14:textId="28BE5843" w:rsidR="00F916F6" w:rsidRDefault="00B84198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BA370E" w14:paraId="311D84E8" w14:textId="77777777" w:rsidTr="00800675">
        <w:trPr>
          <w:trHeight w:val="632"/>
        </w:trPr>
        <w:tc>
          <w:tcPr>
            <w:tcW w:w="562" w:type="dxa"/>
          </w:tcPr>
          <w:p w14:paraId="1046698E" w14:textId="663591D0" w:rsidR="00F916F6" w:rsidRPr="00BA4206" w:rsidRDefault="00F916F6" w:rsidP="004A4DD0">
            <w:pPr>
              <w:pStyle w:val="Listparagraf"/>
              <w:numPr>
                <w:ilvl w:val="1"/>
                <w:numId w:val="7"/>
              </w:numPr>
              <w:ind w:left="447"/>
              <w:rPr>
                <w:bCs/>
                <w:lang w:val="ro-RO"/>
              </w:rPr>
            </w:pPr>
          </w:p>
        </w:tc>
        <w:tc>
          <w:tcPr>
            <w:tcW w:w="8668" w:type="dxa"/>
          </w:tcPr>
          <w:p w14:paraId="784C28C0" w14:textId="7901A79B" w:rsidR="00F916F6" w:rsidRPr="00BA370E" w:rsidRDefault="00800675" w:rsidP="00CF45C1">
            <w:pPr>
              <w:jc w:val="both"/>
              <w:rPr>
                <w:b/>
                <w:lang w:val="ro-RO"/>
              </w:rPr>
            </w:pPr>
            <w:r w:rsidRPr="00BA370E">
              <w:rPr>
                <w:lang w:val="ro-RO"/>
              </w:rPr>
              <w:t>Componentele de bază ale Programului de Prevenire și Control a Infecțiilor. Strategii multimodale de prevenire a infecțiilor asociate asistenței medicale.</w:t>
            </w:r>
          </w:p>
        </w:tc>
        <w:tc>
          <w:tcPr>
            <w:tcW w:w="661" w:type="dxa"/>
          </w:tcPr>
          <w:p w14:paraId="1CC4487C" w14:textId="548C0633" w:rsidR="00F916F6" w:rsidRDefault="00C40FAF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BA370E" w14:paraId="4D9154C5" w14:textId="77777777" w:rsidTr="004A4DD0">
        <w:trPr>
          <w:trHeight w:val="332"/>
        </w:trPr>
        <w:tc>
          <w:tcPr>
            <w:tcW w:w="562" w:type="dxa"/>
          </w:tcPr>
          <w:p w14:paraId="5E0B367C" w14:textId="59D0838D" w:rsidR="00F916F6" w:rsidRPr="00BA4206" w:rsidRDefault="00F916F6" w:rsidP="004A4DD0">
            <w:pPr>
              <w:pStyle w:val="FR3"/>
              <w:numPr>
                <w:ilvl w:val="1"/>
                <w:numId w:val="7"/>
              </w:numPr>
              <w:spacing w:before="0"/>
              <w:ind w:left="447"/>
              <w:jc w:val="both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8668" w:type="dxa"/>
          </w:tcPr>
          <w:p w14:paraId="6F362C0E" w14:textId="2ECE945E" w:rsidR="00F916F6" w:rsidRPr="00BA370E" w:rsidRDefault="00800675" w:rsidP="00F916F6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Verigile procesului de transmitere a infecțiilor asociate asistenței medicale. Prevenirea rezistenței antimicrobiene. Controlul răspândirii bacteriilor rezistente la antimicrobiene</w:t>
            </w:r>
            <w:r>
              <w:rPr>
                <w:lang w:val="ro-RO"/>
              </w:rPr>
              <w:t>.</w:t>
            </w:r>
          </w:p>
        </w:tc>
        <w:tc>
          <w:tcPr>
            <w:tcW w:w="661" w:type="dxa"/>
          </w:tcPr>
          <w:p w14:paraId="0C44FC57" w14:textId="3ABEAB61" w:rsidR="00F916F6" w:rsidRPr="00BA370E" w:rsidRDefault="00C40FAF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BA370E" w14:paraId="177BA969" w14:textId="77777777" w:rsidTr="004A4DD0">
        <w:trPr>
          <w:trHeight w:val="216"/>
        </w:trPr>
        <w:tc>
          <w:tcPr>
            <w:tcW w:w="562" w:type="dxa"/>
          </w:tcPr>
          <w:p w14:paraId="5B6DE820" w14:textId="77777777" w:rsidR="00F916F6" w:rsidRPr="00BA4206" w:rsidRDefault="00F916F6" w:rsidP="004A4DD0">
            <w:pPr>
              <w:pStyle w:val="FR3"/>
              <w:numPr>
                <w:ilvl w:val="1"/>
                <w:numId w:val="7"/>
              </w:numPr>
              <w:spacing w:before="0"/>
              <w:ind w:left="447"/>
              <w:jc w:val="both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8668" w:type="dxa"/>
          </w:tcPr>
          <w:p w14:paraId="226EF64F" w14:textId="65C0C190" w:rsidR="00F916F6" w:rsidRPr="00BA370E" w:rsidRDefault="00800675" w:rsidP="00F916F6">
            <w:pPr>
              <w:jc w:val="both"/>
              <w:rPr>
                <w:lang w:val="ro-MD"/>
              </w:rPr>
            </w:pPr>
            <w:r w:rsidRPr="00BA370E">
              <w:rPr>
                <w:lang w:val="ro-RO"/>
              </w:rPr>
              <w:t>Precauții standard. Igiena mâinilor. Echipamentul personal de protecție. Igiena mediului</w:t>
            </w:r>
          </w:p>
        </w:tc>
        <w:tc>
          <w:tcPr>
            <w:tcW w:w="661" w:type="dxa"/>
          </w:tcPr>
          <w:p w14:paraId="15EBF0A5" w14:textId="7BD93FC1" w:rsidR="00F916F6" w:rsidRPr="00BA370E" w:rsidRDefault="00C40FAF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BA370E" w14:paraId="17FF5B0A" w14:textId="77777777" w:rsidTr="007A314C">
        <w:trPr>
          <w:trHeight w:val="401"/>
        </w:trPr>
        <w:tc>
          <w:tcPr>
            <w:tcW w:w="562" w:type="dxa"/>
          </w:tcPr>
          <w:p w14:paraId="7E1ECED9" w14:textId="77777777" w:rsidR="00F916F6" w:rsidRPr="00BA4206" w:rsidRDefault="00F916F6" w:rsidP="004A4DD0">
            <w:pPr>
              <w:pStyle w:val="FR3"/>
              <w:numPr>
                <w:ilvl w:val="1"/>
                <w:numId w:val="7"/>
              </w:numPr>
              <w:spacing w:before="0"/>
              <w:ind w:left="447"/>
              <w:jc w:val="both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8668" w:type="dxa"/>
          </w:tcPr>
          <w:p w14:paraId="7EF25363" w14:textId="5D74FFB7" w:rsidR="00F916F6" w:rsidRPr="00BA370E" w:rsidRDefault="00800675" w:rsidP="00F916F6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Precauții bazate pe transmiterea infecțiilor asociate asistenței medicale: precauții de contact, aerogene, prin picături.  Prevenirea răspândirii infecți</w:t>
            </w:r>
            <w:r w:rsidR="008D161B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asociate asistenței medicale:</w:t>
            </w:r>
            <w:r w:rsidRPr="00BA370E">
              <w:rPr>
                <w:lang w:val="ro-RO"/>
              </w:rPr>
              <w:t xml:space="preserve"> Cl.</w:t>
            </w:r>
            <w:r>
              <w:rPr>
                <w:lang w:val="ro-RO"/>
              </w:rPr>
              <w:t xml:space="preserve"> </w:t>
            </w:r>
            <w:r w:rsidRPr="00BA370E">
              <w:rPr>
                <w:i/>
                <w:lang w:val="ro-RO"/>
              </w:rPr>
              <w:t xml:space="preserve">difficile </w:t>
            </w:r>
            <w:r w:rsidRPr="00BA370E">
              <w:rPr>
                <w:lang w:val="ro-RO"/>
              </w:rPr>
              <w:t>și</w:t>
            </w:r>
            <w:r w:rsidRPr="00BA370E">
              <w:rPr>
                <w:i/>
                <w:lang w:val="ro-RO"/>
              </w:rPr>
              <w:t xml:space="preserve"> </w:t>
            </w:r>
            <w:r w:rsidRPr="00BA370E">
              <w:rPr>
                <w:lang w:val="ro-RO"/>
              </w:rPr>
              <w:t>infecțiilor respiratorii virale acute, infecției COVID-19</w:t>
            </w:r>
            <w:r>
              <w:rPr>
                <w:lang w:val="ro-RO"/>
              </w:rPr>
              <w:t>, plagă chirurgicală, pneumonii VAP, asociate cateterizării urinare, vasculare, ș.a.</w:t>
            </w:r>
            <w:r w:rsidRPr="00BA370E">
              <w:rPr>
                <w:lang w:val="ro-RO"/>
              </w:rPr>
              <w:t xml:space="preserve">   </w:t>
            </w:r>
          </w:p>
        </w:tc>
        <w:tc>
          <w:tcPr>
            <w:tcW w:w="661" w:type="dxa"/>
          </w:tcPr>
          <w:p w14:paraId="31760735" w14:textId="362E740B" w:rsidR="00F916F6" w:rsidRPr="00BA370E" w:rsidRDefault="0029026A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BA370E" w14:paraId="37E4C6A5" w14:textId="77777777" w:rsidTr="00C967F0">
        <w:trPr>
          <w:trHeight w:val="290"/>
        </w:trPr>
        <w:tc>
          <w:tcPr>
            <w:tcW w:w="562" w:type="dxa"/>
          </w:tcPr>
          <w:p w14:paraId="3A545FDB" w14:textId="77777777" w:rsidR="00F916F6" w:rsidRPr="00BA4206" w:rsidRDefault="00F916F6" w:rsidP="004A4DD0">
            <w:pPr>
              <w:pStyle w:val="FR3"/>
              <w:numPr>
                <w:ilvl w:val="1"/>
                <w:numId w:val="7"/>
              </w:numPr>
              <w:spacing w:before="0"/>
              <w:ind w:left="447"/>
              <w:jc w:val="both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8668" w:type="dxa"/>
          </w:tcPr>
          <w:p w14:paraId="51EE2A80" w14:textId="0DECEF4E" w:rsidR="00F916F6" w:rsidRPr="00BA370E" w:rsidRDefault="00800675" w:rsidP="00F916F6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Siguranța injecțiilor. Gestionarea deșeurilor rezultate din activitatea medicală.</w:t>
            </w:r>
          </w:p>
        </w:tc>
        <w:tc>
          <w:tcPr>
            <w:tcW w:w="661" w:type="dxa"/>
          </w:tcPr>
          <w:p w14:paraId="38E15774" w14:textId="783FDC39" w:rsidR="00F916F6" w:rsidRPr="00BA370E" w:rsidRDefault="0029026A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F916F6" w:rsidRPr="00BA370E" w14:paraId="0D811082" w14:textId="77777777" w:rsidTr="004A4DD0">
        <w:trPr>
          <w:trHeight w:val="167"/>
        </w:trPr>
        <w:tc>
          <w:tcPr>
            <w:tcW w:w="562" w:type="dxa"/>
          </w:tcPr>
          <w:p w14:paraId="5C9C55C5" w14:textId="77777777" w:rsidR="00F916F6" w:rsidRPr="00BA4206" w:rsidRDefault="00F916F6" w:rsidP="004A4DD0">
            <w:pPr>
              <w:pStyle w:val="FR3"/>
              <w:numPr>
                <w:ilvl w:val="1"/>
                <w:numId w:val="7"/>
              </w:numPr>
              <w:spacing w:before="0"/>
              <w:ind w:left="447"/>
              <w:jc w:val="both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8668" w:type="dxa"/>
          </w:tcPr>
          <w:p w14:paraId="74935515" w14:textId="1DB6EE9E" w:rsidR="00F916F6" w:rsidRPr="00BA370E" w:rsidRDefault="00D57476" w:rsidP="00F916F6">
            <w:pPr>
              <w:jc w:val="both"/>
              <w:rPr>
                <w:lang w:val="ro-RO"/>
              </w:rPr>
            </w:pPr>
            <w:r w:rsidRPr="00BA370E">
              <w:rPr>
                <w:lang w:val="ro-RO"/>
              </w:rPr>
              <w:t>Supravegherea infecțiilor asociate asistenței medicale.</w:t>
            </w:r>
          </w:p>
        </w:tc>
        <w:tc>
          <w:tcPr>
            <w:tcW w:w="661" w:type="dxa"/>
          </w:tcPr>
          <w:p w14:paraId="533403C2" w14:textId="55233C04" w:rsidR="00F916F6" w:rsidRPr="00BA370E" w:rsidRDefault="0029026A" w:rsidP="00F916F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F916F6" w:rsidRPr="00BA370E" w14:paraId="698ACB30" w14:textId="77777777" w:rsidTr="00FE0C48">
        <w:trPr>
          <w:trHeight w:val="477"/>
        </w:trPr>
        <w:tc>
          <w:tcPr>
            <w:tcW w:w="9230" w:type="dxa"/>
            <w:gridSpan w:val="2"/>
          </w:tcPr>
          <w:p w14:paraId="2EFB362A" w14:textId="77777777" w:rsidR="00F916F6" w:rsidRPr="00BA370E" w:rsidRDefault="00F916F6" w:rsidP="00F916F6">
            <w:pPr>
              <w:pStyle w:val="FR3"/>
              <w:spacing w:before="0"/>
              <w:ind w:left="79"/>
              <w:jc w:val="both"/>
              <w:rPr>
                <w:b/>
                <w:sz w:val="24"/>
                <w:szCs w:val="24"/>
                <w:lang w:val="ro-RO"/>
              </w:rPr>
            </w:pPr>
            <w:r w:rsidRPr="00BA370E"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661" w:type="dxa"/>
          </w:tcPr>
          <w:p w14:paraId="7659AE90" w14:textId="77777777" w:rsidR="00F916F6" w:rsidRPr="00BA370E" w:rsidRDefault="00F916F6" w:rsidP="00F916F6">
            <w:pPr>
              <w:pStyle w:val="FR3"/>
              <w:spacing w:before="0"/>
              <w:ind w:left="79"/>
              <w:rPr>
                <w:b/>
                <w:color w:val="FF0000"/>
                <w:sz w:val="24"/>
                <w:szCs w:val="24"/>
                <w:lang w:val="ro-RO"/>
              </w:rPr>
            </w:pPr>
            <w:r w:rsidRPr="00BA370E">
              <w:rPr>
                <w:b/>
                <w:color w:val="000000" w:themeColor="text1"/>
                <w:sz w:val="24"/>
                <w:szCs w:val="24"/>
                <w:lang w:val="ro-RO"/>
              </w:rPr>
              <w:t>15</w:t>
            </w:r>
          </w:p>
        </w:tc>
      </w:tr>
    </w:tbl>
    <w:p w14:paraId="6362EE08" w14:textId="77777777" w:rsidR="00CB10E8" w:rsidRDefault="00CB10E8" w:rsidP="003A157E">
      <w:pPr>
        <w:jc w:val="center"/>
        <w:rPr>
          <w:b/>
          <w:sz w:val="28"/>
          <w:lang w:val="ro-MD"/>
        </w:rPr>
      </w:pPr>
    </w:p>
    <w:p w14:paraId="6552A5E2" w14:textId="77777777" w:rsidR="003A157E" w:rsidRPr="003A157E" w:rsidRDefault="003A157E" w:rsidP="003A157E">
      <w:pPr>
        <w:jc w:val="center"/>
        <w:rPr>
          <w:sz w:val="28"/>
          <w:lang w:val="ro-MD"/>
        </w:rPr>
      </w:pPr>
    </w:p>
    <w:p w14:paraId="395C0557" w14:textId="77777777" w:rsidR="003A157E" w:rsidRPr="003A157E" w:rsidRDefault="003A157E" w:rsidP="003A157E">
      <w:pPr>
        <w:rPr>
          <w:sz w:val="28"/>
          <w:lang w:val="ro-MD"/>
        </w:rPr>
      </w:pPr>
    </w:p>
    <w:p w14:paraId="1A45A503" w14:textId="77777777" w:rsidR="003A157E" w:rsidRPr="003A157E" w:rsidRDefault="003A157E" w:rsidP="003A157E">
      <w:pPr>
        <w:rPr>
          <w:sz w:val="28"/>
          <w:lang w:val="ro-MD"/>
        </w:rPr>
      </w:pPr>
    </w:p>
    <w:p w14:paraId="7CD825B9" w14:textId="77777777" w:rsidR="003A157E" w:rsidRPr="003A157E" w:rsidRDefault="003A157E" w:rsidP="003A157E">
      <w:pPr>
        <w:rPr>
          <w:sz w:val="28"/>
          <w:lang w:val="ro-MD"/>
        </w:rPr>
      </w:pPr>
    </w:p>
    <w:p w14:paraId="40AC0FA0" w14:textId="77777777" w:rsidR="003A157E" w:rsidRDefault="003A157E" w:rsidP="003A157E">
      <w:pPr>
        <w:rPr>
          <w:sz w:val="28"/>
          <w:lang w:val="ro-MD"/>
        </w:rPr>
      </w:pPr>
    </w:p>
    <w:p w14:paraId="0635C918" w14:textId="77777777" w:rsidR="005E520D" w:rsidRDefault="005E520D" w:rsidP="003A157E">
      <w:pPr>
        <w:rPr>
          <w:sz w:val="28"/>
          <w:lang w:val="ro-MD"/>
        </w:rPr>
      </w:pPr>
    </w:p>
    <w:p w14:paraId="680D1B27" w14:textId="77777777" w:rsidR="005E520D" w:rsidRDefault="005E520D" w:rsidP="003A157E">
      <w:pPr>
        <w:rPr>
          <w:sz w:val="28"/>
          <w:lang w:val="ro-MD"/>
        </w:rPr>
      </w:pPr>
    </w:p>
    <w:p w14:paraId="3EE3F437" w14:textId="77777777" w:rsidR="005E520D" w:rsidRDefault="005E520D" w:rsidP="003A157E">
      <w:pPr>
        <w:rPr>
          <w:sz w:val="28"/>
          <w:lang w:val="ro-MD"/>
        </w:rPr>
      </w:pPr>
    </w:p>
    <w:p w14:paraId="48253E14" w14:textId="77777777" w:rsidR="005E520D" w:rsidRDefault="005E520D" w:rsidP="003A157E">
      <w:pPr>
        <w:rPr>
          <w:sz w:val="28"/>
          <w:lang w:val="ro-MD"/>
        </w:rPr>
      </w:pPr>
    </w:p>
    <w:p w14:paraId="23E04DB6" w14:textId="77777777" w:rsidR="003A157E" w:rsidRPr="003A157E" w:rsidRDefault="003A157E" w:rsidP="003A157E">
      <w:pPr>
        <w:rPr>
          <w:sz w:val="28"/>
          <w:lang w:val="ro-MD"/>
        </w:rPr>
      </w:pPr>
    </w:p>
    <w:p w14:paraId="6F11F7C3" w14:textId="77777777" w:rsidR="003A157E" w:rsidRPr="003A157E" w:rsidRDefault="003A157E" w:rsidP="003A157E">
      <w:pPr>
        <w:rPr>
          <w:sz w:val="28"/>
          <w:lang w:val="ro-MD"/>
        </w:rPr>
      </w:pPr>
    </w:p>
    <w:p w14:paraId="1F5AD9F8" w14:textId="7BE9EC3C" w:rsidR="00CB10E8" w:rsidRPr="004A4DD0" w:rsidRDefault="00CB2DC5" w:rsidP="00CB10E8">
      <w:pPr>
        <w:jc w:val="both"/>
        <w:rPr>
          <w:lang w:val="ro-MD"/>
        </w:rPr>
      </w:pPr>
      <w:r w:rsidRPr="004A4DD0">
        <w:rPr>
          <w:lang w:val="ro-MD"/>
        </w:rPr>
        <w:t>Șef</w:t>
      </w:r>
      <w:r w:rsidR="00CB10E8" w:rsidRPr="004A4DD0">
        <w:rPr>
          <w:lang w:val="ro-MD"/>
        </w:rPr>
        <w:t xml:space="preserve"> </w:t>
      </w:r>
      <w:r w:rsidR="00AC0BDC" w:rsidRPr="004A4DD0">
        <w:rPr>
          <w:lang w:val="ro-MD"/>
        </w:rPr>
        <w:t xml:space="preserve">disciplina de </w:t>
      </w:r>
      <w:r w:rsidR="00CB10E8" w:rsidRPr="004A4DD0">
        <w:rPr>
          <w:lang w:val="ro-MD"/>
        </w:rPr>
        <w:t>Epidemiologie,</w:t>
      </w:r>
    </w:p>
    <w:p w14:paraId="7B68C8BF" w14:textId="73637E1C" w:rsidR="003A157E" w:rsidRPr="004A4DD0" w:rsidRDefault="00CB10E8" w:rsidP="00CB10E8">
      <w:pPr>
        <w:rPr>
          <w:lang w:val="ro-MD"/>
        </w:rPr>
      </w:pPr>
      <w:r w:rsidRPr="004A4DD0">
        <w:rPr>
          <w:lang w:val="ro-MD"/>
        </w:rPr>
        <w:t xml:space="preserve">dr. șt. med., conf. univ.                                                         </w:t>
      </w:r>
      <w:r w:rsidR="00946768" w:rsidRPr="004A4DD0">
        <w:rPr>
          <w:lang w:val="ro-MD"/>
        </w:rPr>
        <w:tab/>
      </w:r>
      <w:r w:rsidR="004A4DD0">
        <w:rPr>
          <w:lang w:val="ro-MD"/>
        </w:rPr>
        <w:tab/>
      </w:r>
      <w:r w:rsidR="004A4DD0">
        <w:rPr>
          <w:lang w:val="ro-MD"/>
        </w:rPr>
        <w:tab/>
      </w:r>
      <w:r w:rsidR="00946768" w:rsidRPr="004A4DD0">
        <w:rPr>
          <w:lang w:val="ro-MD"/>
        </w:rPr>
        <w:t>Diana Spătaru</w:t>
      </w:r>
    </w:p>
    <w:sectPr w:rsidR="003A157E" w:rsidRPr="004A4DD0" w:rsidSect="00DC5AC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6E4F"/>
    <w:multiLevelType w:val="hybridMultilevel"/>
    <w:tmpl w:val="372279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8AD"/>
    <w:multiLevelType w:val="hybridMultilevel"/>
    <w:tmpl w:val="D3504C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0F">
      <w:start w:val="1"/>
      <w:numFmt w:val="decimal"/>
      <w:lvlText w:val="%3."/>
      <w:lvlJc w:val="left"/>
      <w:pPr>
        <w:ind w:left="144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CFA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5E073B7"/>
    <w:multiLevelType w:val="hybridMultilevel"/>
    <w:tmpl w:val="8BE437FC"/>
    <w:lvl w:ilvl="0" w:tplc="B48261C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1FC6CB4"/>
    <w:multiLevelType w:val="hybridMultilevel"/>
    <w:tmpl w:val="320073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06F2A"/>
    <w:multiLevelType w:val="hybridMultilevel"/>
    <w:tmpl w:val="8BE437FC"/>
    <w:lvl w:ilvl="0" w:tplc="B48261C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6375387"/>
    <w:multiLevelType w:val="hybridMultilevel"/>
    <w:tmpl w:val="8BE437FC"/>
    <w:lvl w:ilvl="0" w:tplc="B48261C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E0A7CDE"/>
    <w:multiLevelType w:val="hybridMultilevel"/>
    <w:tmpl w:val="4DDA3D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2F7A"/>
    <w:multiLevelType w:val="hybridMultilevel"/>
    <w:tmpl w:val="0C7C4B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5912">
    <w:abstractNumId w:val="6"/>
  </w:num>
  <w:num w:numId="2" w16cid:durableId="550843331">
    <w:abstractNumId w:val="3"/>
  </w:num>
  <w:num w:numId="3" w16cid:durableId="1343586068">
    <w:abstractNumId w:val="5"/>
  </w:num>
  <w:num w:numId="4" w16cid:durableId="1289317344">
    <w:abstractNumId w:val="2"/>
  </w:num>
  <w:num w:numId="5" w16cid:durableId="475073705">
    <w:abstractNumId w:val="8"/>
  </w:num>
  <w:num w:numId="6" w16cid:durableId="809130549">
    <w:abstractNumId w:val="7"/>
  </w:num>
  <w:num w:numId="7" w16cid:durableId="727147401">
    <w:abstractNumId w:val="4"/>
  </w:num>
  <w:num w:numId="8" w16cid:durableId="1441754015">
    <w:abstractNumId w:val="0"/>
  </w:num>
  <w:num w:numId="9" w16cid:durableId="105061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7"/>
    <w:rsid w:val="000E02B3"/>
    <w:rsid w:val="0029026A"/>
    <w:rsid w:val="002C52B9"/>
    <w:rsid w:val="002D43AD"/>
    <w:rsid w:val="003A157E"/>
    <w:rsid w:val="003B490B"/>
    <w:rsid w:val="004A4DD0"/>
    <w:rsid w:val="00565BBA"/>
    <w:rsid w:val="005E520D"/>
    <w:rsid w:val="00653257"/>
    <w:rsid w:val="006646A3"/>
    <w:rsid w:val="006F4B6F"/>
    <w:rsid w:val="00766FD5"/>
    <w:rsid w:val="007A314C"/>
    <w:rsid w:val="00800675"/>
    <w:rsid w:val="008D161B"/>
    <w:rsid w:val="00946768"/>
    <w:rsid w:val="00974FD7"/>
    <w:rsid w:val="00A13AE8"/>
    <w:rsid w:val="00A25D44"/>
    <w:rsid w:val="00A57A95"/>
    <w:rsid w:val="00A95016"/>
    <w:rsid w:val="00AA3065"/>
    <w:rsid w:val="00AC0BDC"/>
    <w:rsid w:val="00B01E48"/>
    <w:rsid w:val="00B301AC"/>
    <w:rsid w:val="00B84198"/>
    <w:rsid w:val="00BA4206"/>
    <w:rsid w:val="00C40FAF"/>
    <w:rsid w:val="00C42367"/>
    <w:rsid w:val="00C74A3D"/>
    <w:rsid w:val="00C967F0"/>
    <w:rsid w:val="00CB10E8"/>
    <w:rsid w:val="00CB2DC5"/>
    <w:rsid w:val="00CF45C1"/>
    <w:rsid w:val="00D50F90"/>
    <w:rsid w:val="00D57476"/>
    <w:rsid w:val="00DC5ACB"/>
    <w:rsid w:val="00F508C0"/>
    <w:rsid w:val="00F916F6"/>
    <w:rsid w:val="00FB38B7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DB90"/>
  <w15:chartTrackingRefBased/>
  <w15:docId w15:val="{4A413477-1572-4933-869B-C5D0A92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rsid w:val="003A157E"/>
    <w:pPr>
      <w:keepNext/>
      <w:spacing w:line="360" w:lineRule="auto"/>
      <w:jc w:val="both"/>
      <w:outlineLvl w:val="0"/>
    </w:pPr>
    <w:rPr>
      <w:sz w:val="28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3">
    <w:name w:val="FR3"/>
    <w:rsid w:val="00C42367"/>
    <w:pPr>
      <w:widowControl w:val="0"/>
      <w:spacing w:before="340" w:after="0" w:line="240" w:lineRule="auto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en-US" w:eastAsia="ru-RU"/>
    </w:rPr>
  </w:style>
  <w:style w:type="table" w:styleId="Tabelgril">
    <w:name w:val="Table Grid"/>
    <w:basedOn w:val="TabelNormal"/>
    <w:uiPriority w:val="39"/>
    <w:rsid w:val="00C4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C5AC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5A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Titlu1Caracter">
    <w:name w:val="Titlu 1 Caracter"/>
    <w:basedOn w:val="Fontdeparagrafimplicit"/>
    <w:link w:val="Titlu1"/>
    <w:rsid w:val="003A15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f">
    <w:name w:val="List Paragraph"/>
    <w:basedOn w:val="Normal"/>
    <w:uiPriority w:val="34"/>
    <w:qFormat/>
    <w:rsid w:val="00BA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Berdeu</dc:creator>
  <cp:keywords/>
  <dc:description/>
  <cp:lastModifiedBy>Ion Berdeu</cp:lastModifiedBy>
  <cp:revision>34</cp:revision>
  <cp:lastPrinted>2022-04-21T11:54:00Z</cp:lastPrinted>
  <dcterms:created xsi:type="dcterms:W3CDTF">2022-03-29T13:46:00Z</dcterms:created>
  <dcterms:modified xsi:type="dcterms:W3CDTF">2025-01-31T13:45:00Z</dcterms:modified>
</cp:coreProperties>
</file>